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6D0BF" w14:textId="47090279" w:rsidR="00506144" w:rsidRDefault="000E029D" w:rsidP="00506144">
      <w:pPr>
        <w:spacing w:after="360"/>
        <w:jc w:val="center"/>
        <w:rPr>
          <w:b/>
          <w:bCs/>
          <w:sz w:val="72"/>
          <w:szCs w:val="72"/>
        </w:rPr>
      </w:pPr>
      <w:r w:rsidRPr="002F6E11">
        <w:rPr>
          <w:b/>
          <w:bCs/>
          <w:sz w:val="72"/>
          <w:szCs w:val="72"/>
        </w:rPr>
        <w:t>Local Rules for the use of</w:t>
      </w:r>
      <w:r w:rsidR="00506144">
        <w:rPr>
          <w:b/>
          <w:bCs/>
          <w:sz w:val="72"/>
          <w:szCs w:val="72"/>
        </w:rPr>
        <w:t xml:space="preserve"> </w:t>
      </w:r>
    </w:p>
    <w:p w14:paraId="087B6C60" w14:textId="77777777" w:rsidR="00506144" w:rsidRPr="00506144" w:rsidRDefault="00506144" w:rsidP="00506144">
      <w:pPr>
        <w:spacing w:after="360"/>
        <w:jc w:val="center"/>
        <w:rPr>
          <w:b/>
          <w:bCs/>
          <w:i/>
          <w:iCs/>
          <w:sz w:val="36"/>
          <w:szCs w:val="36"/>
        </w:rPr>
      </w:pPr>
    </w:p>
    <w:tbl>
      <w:tblPr>
        <w:tblStyle w:val="TableGrid"/>
        <w:tblW w:w="0" w:type="auto"/>
        <w:tblLook w:val="04A0" w:firstRow="1" w:lastRow="0" w:firstColumn="1" w:lastColumn="0" w:noHBand="0" w:noVBand="1"/>
      </w:tblPr>
      <w:tblGrid>
        <w:gridCol w:w="2155"/>
        <w:gridCol w:w="7195"/>
      </w:tblGrid>
      <w:tr w:rsidR="00506144" w14:paraId="1E3012FA" w14:textId="77777777" w:rsidTr="0070577B">
        <w:tc>
          <w:tcPr>
            <w:tcW w:w="9350" w:type="dxa"/>
            <w:gridSpan w:val="2"/>
            <w:tcBorders>
              <w:bottom w:val="single" w:sz="4" w:space="0" w:color="auto"/>
            </w:tcBorders>
          </w:tcPr>
          <w:p w14:paraId="52DC93BB" w14:textId="0EB8F34C" w:rsidR="00506144" w:rsidRPr="00A23CE1" w:rsidRDefault="00A23CE1" w:rsidP="0070577B">
            <w:pPr>
              <w:jc w:val="center"/>
              <w:rPr>
                <w:b/>
                <w:bCs/>
                <w:color w:val="FF0000"/>
                <w:sz w:val="72"/>
                <w:szCs w:val="72"/>
              </w:rPr>
            </w:pPr>
            <w:r w:rsidRPr="00A23CE1">
              <w:rPr>
                <w:b/>
                <w:bCs/>
                <w:color w:val="FF0000"/>
                <w:sz w:val="72"/>
                <w:szCs w:val="72"/>
              </w:rPr>
              <w:t>Manufacturer</w:t>
            </w:r>
          </w:p>
          <w:p w14:paraId="24DD94F5" w14:textId="446ED00F" w:rsidR="00506144" w:rsidRPr="00A23CE1" w:rsidRDefault="00A23CE1" w:rsidP="00506144">
            <w:pPr>
              <w:jc w:val="center"/>
              <w:rPr>
                <w:b/>
                <w:bCs/>
                <w:color w:val="FF0000"/>
                <w:sz w:val="72"/>
                <w:szCs w:val="72"/>
              </w:rPr>
            </w:pPr>
            <w:r w:rsidRPr="00A23CE1">
              <w:rPr>
                <w:b/>
                <w:bCs/>
                <w:color w:val="FF0000"/>
                <w:sz w:val="72"/>
                <w:szCs w:val="72"/>
              </w:rPr>
              <w:t>Model</w:t>
            </w:r>
          </w:p>
          <w:p w14:paraId="731C4280" w14:textId="7313CBBC" w:rsidR="00BD45A9" w:rsidRDefault="009C7810" w:rsidP="00A23CE1">
            <w:pPr>
              <w:jc w:val="center"/>
              <w:rPr>
                <w:b/>
                <w:bCs/>
                <w:sz w:val="72"/>
                <w:szCs w:val="72"/>
              </w:rPr>
            </w:pPr>
            <w:r>
              <w:rPr>
                <w:b/>
                <w:bCs/>
                <w:sz w:val="72"/>
                <w:szCs w:val="72"/>
              </w:rPr>
              <w:t xml:space="preserve">S/N: </w:t>
            </w:r>
            <w:r w:rsidR="00A23CE1" w:rsidRPr="00A23CE1">
              <w:rPr>
                <w:b/>
                <w:bCs/>
                <w:color w:val="FF0000"/>
                <w:sz w:val="72"/>
                <w:szCs w:val="72"/>
              </w:rPr>
              <w:t>Serial Number</w:t>
            </w:r>
          </w:p>
        </w:tc>
      </w:tr>
      <w:tr w:rsidR="00506144" w14:paraId="3B1A3634" w14:textId="77777777" w:rsidTr="00A23CE1">
        <w:tc>
          <w:tcPr>
            <w:tcW w:w="2155" w:type="dxa"/>
            <w:tcBorders>
              <w:top w:val="single" w:sz="4" w:space="0" w:color="auto"/>
              <w:left w:val="nil"/>
              <w:bottom w:val="nil"/>
              <w:right w:val="nil"/>
            </w:tcBorders>
          </w:tcPr>
          <w:p w14:paraId="3554B8A5" w14:textId="7392524A" w:rsidR="00506144" w:rsidRPr="007344DD" w:rsidRDefault="007022FB" w:rsidP="0070577B">
            <w:pPr>
              <w:spacing w:before="240"/>
              <w:jc w:val="center"/>
              <w:rPr>
                <w:b/>
                <w:bCs/>
                <w:sz w:val="48"/>
                <w:szCs w:val="48"/>
              </w:rPr>
            </w:pPr>
            <w:r>
              <w:rPr>
                <w:b/>
                <w:bCs/>
                <w:sz w:val="48"/>
                <w:szCs w:val="48"/>
              </w:rPr>
              <w:t>RUA</w:t>
            </w:r>
            <w:r w:rsidR="00506144" w:rsidRPr="007344DD">
              <w:rPr>
                <w:b/>
                <w:bCs/>
                <w:sz w:val="48"/>
                <w:szCs w:val="48"/>
              </w:rPr>
              <w:t xml:space="preserve"> No.</w:t>
            </w:r>
          </w:p>
        </w:tc>
        <w:tc>
          <w:tcPr>
            <w:tcW w:w="7195" w:type="dxa"/>
            <w:tcBorders>
              <w:top w:val="single" w:sz="4" w:space="0" w:color="auto"/>
              <w:left w:val="nil"/>
              <w:bottom w:val="nil"/>
              <w:right w:val="nil"/>
            </w:tcBorders>
          </w:tcPr>
          <w:p w14:paraId="0E3C51C9" w14:textId="19663C84" w:rsidR="00506144" w:rsidRPr="007344DD" w:rsidRDefault="00A23CE1" w:rsidP="00427EAC">
            <w:pPr>
              <w:spacing w:before="240"/>
              <w:rPr>
                <w:b/>
                <w:bCs/>
                <w:sz w:val="48"/>
                <w:szCs w:val="48"/>
              </w:rPr>
            </w:pPr>
            <w:r w:rsidRPr="00A23CE1">
              <w:rPr>
                <w:b/>
                <w:bCs/>
                <w:color w:val="FF0000"/>
                <w:sz w:val="48"/>
                <w:szCs w:val="48"/>
              </w:rPr>
              <w:t>Asset Number</w:t>
            </w:r>
          </w:p>
        </w:tc>
      </w:tr>
    </w:tbl>
    <w:p w14:paraId="188EB031" w14:textId="19F7A325" w:rsidR="00E4361B" w:rsidRDefault="007D5F74">
      <w:r>
        <w:rPr>
          <w:noProof/>
        </w:rPr>
        <mc:AlternateContent>
          <mc:Choice Requires="wps">
            <w:drawing>
              <wp:anchor distT="0" distB="0" distL="114300" distR="114300" simplePos="0" relativeHeight="251659264" behindDoc="0" locked="0" layoutInCell="1" allowOverlap="1" wp14:anchorId="4C3A83A1" wp14:editId="2C399911">
                <wp:simplePos x="0" y="0"/>
                <wp:positionH relativeFrom="column">
                  <wp:posOffset>0</wp:posOffset>
                </wp:positionH>
                <wp:positionV relativeFrom="paragraph">
                  <wp:posOffset>111125</wp:posOffset>
                </wp:positionV>
                <wp:extent cx="5895975" cy="1266825"/>
                <wp:effectExtent l="19050" t="19050" r="28575" b="28575"/>
                <wp:wrapNone/>
                <wp:docPr id="1" name="Text Box 1"/>
                <wp:cNvGraphicFramePr/>
                <a:graphic xmlns:a="http://schemas.openxmlformats.org/drawingml/2006/main">
                  <a:graphicData uri="http://schemas.microsoft.com/office/word/2010/wordprocessingShape">
                    <wps:wsp>
                      <wps:cNvSpPr txBox="1"/>
                      <wps:spPr>
                        <a:xfrm>
                          <a:off x="0" y="0"/>
                          <a:ext cx="5895975" cy="1266825"/>
                        </a:xfrm>
                        <a:prstGeom prst="rect">
                          <a:avLst/>
                        </a:prstGeom>
                        <a:solidFill>
                          <a:schemeClr val="lt1"/>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95A1514" w14:textId="45A400F6" w:rsidR="007D5F74" w:rsidRPr="007D5F74" w:rsidRDefault="007D5F74" w:rsidP="007D5F74">
                            <w:pPr>
                              <w:rPr>
                                <w:b/>
                                <w:bCs/>
                                <w:color w:val="FF0000"/>
                              </w:rPr>
                            </w:pPr>
                            <w:r w:rsidRPr="007D5F74">
                              <w:rPr>
                                <w:b/>
                                <w:bCs/>
                                <w:color w:val="FF0000"/>
                              </w:rPr>
                              <w:t>Instructions – delete the box when you are done</w:t>
                            </w:r>
                          </w:p>
                          <w:p w14:paraId="5BA01D06" w14:textId="174C7769" w:rsidR="007D5F74" w:rsidRDefault="007D5F74" w:rsidP="007D5F74">
                            <w:pPr>
                              <w:pStyle w:val="ListParagraph"/>
                              <w:numPr>
                                <w:ilvl w:val="0"/>
                                <w:numId w:val="29"/>
                              </w:numPr>
                            </w:pPr>
                            <w:r>
                              <w:t xml:space="preserve">For SEM/TEM and X-ray analysis equipment – include the text in </w:t>
                            </w:r>
                            <w:r w:rsidRPr="007D5F74">
                              <w:rPr>
                                <w:color w:val="2E74B5" w:themeColor="accent1" w:themeShade="BF"/>
                              </w:rPr>
                              <w:t>BLUE</w:t>
                            </w:r>
                          </w:p>
                          <w:p w14:paraId="5EB2E950" w14:textId="0321FBD8" w:rsidR="007D5F74" w:rsidRPr="007D5F74" w:rsidRDefault="007D5F74" w:rsidP="007D5F74">
                            <w:pPr>
                              <w:pStyle w:val="ListParagraph"/>
                              <w:numPr>
                                <w:ilvl w:val="0"/>
                                <w:numId w:val="29"/>
                              </w:numPr>
                            </w:pPr>
                            <w:r>
                              <w:t xml:space="preserve">For CT/Irradiator (equipment that emit x-ray with energy above 50 kV) – include the text in </w:t>
                            </w:r>
                            <w:r w:rsidRPr="007D5F74">
                              <w:rPr>
                                <w:color w:val="538135" w:themeColor="accent6" w:themeShade="BF"/>
                              </w:rPr>
                              <w:t>GREEN</w:t>
                            </w:r>
                          </w:p>
                          <w:p w14:paraId="430BDD3B" w14:textId="39330AC2" w:rsidR="007D5F74" w:rsidRPr="007D5F74" w:rsidRDefault="007D5F74" w:rsidP="007D5F74">
                            <w:pPr>
                              <w:pStyle w:val="ListParagraph"/>
                              <w:numPr>
                                <w:ilvl w:val="0"/>
                                <w:numId w:val="29"/>
                              </w:numPr>
                            </w:pPr>
                            <w:r w:rsidRPr="007D5F74">
                              <w:t>Whenever there is ### you must adapt the text to suit your need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A83A1" id="_x0000_t202" coordsize="21600,21600" o:spt="202" path="m,l,21600r21600,l21600,xe">
                <v:stroke joinstyle="miter"/>
                <v:path gradientshapeok="t" o:connecttype="rect"/>
              </v:shapetype>
              <v:shape id="Text Box 1" o:spid="_x0000_s1026" type="#_x0000_t202" style="position:absolute;margin-left:0;margin-top:8.75pt;width:464.25pt;height:9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" fillcolor="white [3201]" strokecolor="red" strokeweight="2.25pt">
                <v:textbox>
                  <w:txbxContent>
                    <w:p w14:paraId="595A1514" w14:textId="45A400F6" w:rsidR="007D5F74" w:rsidRPr="007D5F74" w:rsidRDefault="007D5F74" w:rsidP="007D5F74">
                      <w:pPr>
                        <w:rPr>
                          <w:b/>
                          <w:bCs/>
                          <w:color w:val="FF0000"/>
                        </w:rPr>
                      </w:pPr>
                      <w:r w:rsidRPr="007D5F74">
                        <w:rPr>
                          <w:b/>
                          <w:bCs/>
                          <w:color w:val="FF0000"/>
                        </w:rPr>
                        <w:t>Instructions – delete the box when you are done</w:t>
                      </w:r>
                    </w:p>
                    <w:p w14:paraId="5BA01D06" w14:textId="174C7769" w:rsidR="007D5F74" w:rsidRDefault="007D5F74" w:rsidP="007D5F74">
                      <w:pPr>
                        <w:pStyle w:val="ListParagraph"/>
                        <w:numPr>
                          <w:ilvl w:val="0"/>
                          <w:numId w:val="29"/>
                        </w:numPr>
                      </w:pPr>
                      <w:r>
                        <w:t xml:space="preserve">For SEM/TEM and X-ray analysis equipment – include the text in </w:t>
                      </w:r>
                      <w:r w:rsidRPr="007D5F74">
                        <w:rPr>
                          <w:color w:val="2E74B5" w:themeColor="accent1" w:themeShade="BF"/>
                        </w:rPr>
                        <w:t>BLUE</w:t>
                      </w:r>
                    </w:p>
                    <w:p w14:paraId="5EB2E950" w14:textId="0321FBD8" w:rsidR="007D5F74" w:rsidRPr="007D5F74" w:rsidRDefault="007D5F74" w:rsidP="007D5F74">
                      <w:pPr>
                        <w:pStyle w:val="ListParagraph"/>
                        <w:numPr>
                          <w:ilvl w:val="0"/>
                          <w:numId w:val="29"/>
                        </w:numPr>
                      </w:pPr>
                      <w:r>
                        <w:t xml:space="preserve">For CT/Irradiator (equipment that emit x-ray with energy above 50 kV) – include the text in </w:t>
                      </w:r>
                      <w:r w:rsidRPr="007D5F74">
                        <w:rPr>
                          <w:color w:val="538135" w:themeColor="accent6" w:themeShade="BF"/>
                        </w:rPr>
                        <w:t>GREEN</w:t>
                      </w:r>
                    </w:p>
                    <w:p w14:paraId="430BDD3B" w14:textId="39330AC2" w:rsidR="007D5F74" w:rsidRPr="007D5F74" w:rsidRDefault="007D5F74" w:rsidP="007D5F74">
                      <w:pPr>
                        <w:pStyle w:val="ListParagraph"/>
                        <w:numPr>
                          <w:ilvl w:val="0"/>
                          <w:numId w:val="29"/>
                        </w:numPr>
                      </w:pPr>
                      <w:r w:rsidRPr="007D5F74">
                        <w:t>Whenever there is ### you must adapt the text to suit your need</w:t>
                      </w:r>
                    </w:p>
                  </w:txbxContent>
                </v:textbox>
              </v:shape>
            </w:pict>
          </mc:Fallback>
        </mc:AlternateContent>
      </w:r>
    </w:p>
    <w:p w14:paraId="6DAB44F4" w14:textId="77777777" w:rsidR="003506B9" w:rsidRDefault="003506B9"/>
    <w:p w14:paraId="5E813136" w14:textId="77777777" w:rsidR="003506B9" w:rsidRDefault="003506B9"/>
    <w:p w14:paraId="2EAB4C73" w14:textId="77777777" w:rsidR="00040177" w:rsidRDefault="00040177" w:rsidP="00506144">
      <w:pPr>
        <w:rPr>
          <w:noProof/>
        </w:rPr>
      </w:pPr>
    </w:p>
    <w:p w14:paraId="3D974E54" w14:textId="77777777" w:rsidR="00440BDC" w:rsidRDefault="00440BDC" w:rsidP="00506144">
      <w:pPr>
        <w:rPr>
          <w:noProof/>
        </w:rPr>
      </w:pPr>
    </w:p>
    <w:p w14:paraId="70A4B9B0" w14:textId="77777777" w:rsidR="00440BDC" w:rsidRDefault="00440BDC" w:rsidP="00506144">
      <w:pPr>
        <w:rPr>
          <w:noProof/>
        </w:rPr>
      </w:pPr>
    </w:p>
    <w:p w14:paraId="7A749895" w14:textId="77777777" w:rsidR="00440BDC" w:rsidRDefault="00440BDC" w:rsidP="00506144">
      <w:pPr>
        <w:rPr>
          <w:noProof/>
        </w:rPr>
      </w:pPr>
    </w:p>
    <w:p w14:paraId="3F08411C" w14:textId="77777777" w:rsidR="00506144" w:rsidRDefault="00506144" w:rsidP="00506144">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506B9" w14:paraId="05D229DD" w14:textId="77777777" w:rsidTr="003506B9">
        <w:tc>
          <w:tcPr>
            <w:tcW w:w="4675" w:type="dxa"/>
            <w:hideMark/>
          </w:tcPr>
          <w:p w14:paraId="7DEDCB99" w14:textId="77777777" w:rsidR="003506B9" w:rsidRDefault="003506B9">
            <w:pPr>
              <w:spacing w:after="120" w:line="240" w:lineRule="auto"/>
              <w:rPr>
                <w:sz w:val="32"/>
                <w:szCs w:val="32"/>
                <w:u w:val="single"/>
              </w:rPr>
            </w:pPr>
            <w:r>
              <w:rPr>
                <w:sz w:val="32"/>
                <w:szCs w:val="32"/>
                <w:u w:val="single"/>
              </w:rPr>
              <w:t>Radiation Safety Officer:</w:t>
            </w:r>
          </w:p>
          <w:p w14:paraId="26A89748" w14:textId="77777777" w:rsidR="003506B9" w:rsidRDefault="003506B9">
            <w:pPr>
              <w:spacing w:line="240" w:lineRule="auto"/>
              <w:rPr>
                <w:b/>
                <w:bCs/>
                <w:sz w:val="36"/>
                <w:szCs w:val="36"/>
              </w:rPr>
            </w:pPr>
            <w:r>
              <w:rPr>
                <w:b/>
                <w:bCs/>
                <w:sz w:val="36"/>
                <w:szCs w:val="36"/>
              </w:rPr>
              <w:t>Mohammad Bahmaid</w:t>
            </w:r>
          </w:p>
          <w:p w14:paraId="2CC071CF" w14:textId="77777777" w:rsidR="003506B9" w:rsidRDefault="003506B9">
            <w:pPr>
              <w:spacing w:line="240" w:lineRule="auto"/>
              <w:rPr>
                <w:rFonts w:eastAsiaTheme="minorEastAsia"/>
                <w:noProof/>
                <w:sz w:val="24"/>
                <w:szCs w:val="24"/>
              </w:rPr>
            </w:pPr>
            <w:r>
              <w:rPr>
                <w:rFonts w:eastAsiaTheme="minorEastAsia"/>
                <w:noProof/>
                <w:sz w:val="24"/>
                <w:szCs w:val="24"/>
              </w:rPr>
              <w:t>Al-Jazri Building (Bldg.4), Room 0250, WS12</w:t>
            </w:r>
          </w:p>
          <w:p w14:paraId="6DDAE511" w14:textId="77777777" w:rsidR="003506B9" w:rsidRDefault="003506B9">
            <w:pPr>
              <w:spacing w:line="240" w:lineRule="auto"/>
              <w:rPr>
                <w:rFonts w:eastAsiaTheme="minorEastAsia"/>
                <w:noProof/>
                <w:sz w:val="24"/>
                <w:szCs w:val="24"/>
              </w:rPr>
            </w:pPr>
            <w:r>
              <w:rPr>
                <w:rFonts w:eastAsiaTheme="minorEastAsia"/>
                <w:noProof/>
                <w:sz w:val="24"/>
                <w:szCs w:val="24"/>
              </w:rPr>
              <w:t>Phone: 966 (012) 808 7843</w:t>
            </w:r>
          </w:p>
          <w:p w14:paraId="0192B956" w14:textId="77777777" w:rsidR="003506B9" w:rsidRDefault="003506B9">
            <w:pPr>
              <w:spacing w:line="240" w:lineRule="auto"/>
              <w:rPr>
                <w:rFonts w:eastAsiaTheme="minorEastAsia"/>
                <w:noProof/>
                <w:sz w:val="24"/>
                <w:szCs w:val="24"/>
              </w:rPr>
            </w:pPr>
            <w:r>
              <w:rPr>
                <w:rFonts w:eastAsiaTheme="minorEastAsia"/>
                <w:noProof/>
                <w:sz w:val="24"/>
                <w:szCs w:val="24"/>
              </w:rPr>
              <w:t>Mobile: 966 (054) 470 0427</w:t>
            </w:r>
          </w:p>
          <w:p w14:paraId="74DCCAF7" w14:textId="77777777" w:rsidR="003506B9" w:rsidRDefault="003506B9">
            <w:pPr>
              <w:spacing w:line="240" w:lineRule="auto"/>
              <w:rPr>
                <w:rFonts w:eastAsiaTheme="minorEastAsia"/>
                <w:noProof/>
                <w:color w:val="0000FF"/>
                <w:sz w:val="24"/>
                <w:szCs w:val="24"/>
                <w:u w:val="single"/>
              </w:rPr>
            </w:pPr>
            <w:r>
              <w:rPr>
                <w:rFonts w:eastAsiaTheme="minorEastAsia"/>
                <w:noProof/>
                <w:sz w:val="24"/>
                <w:szCs w:val="24"/>
              </w:rPr>
              <w:t xml:space="preserve">Email: </w:t>
            </w:r>
            <w:hyperlink r:id="rId10" w:history="1">
              <w:r>
                <w:rPr>
                  <w:rStyle w:val="Hyperlink"/>
                  <w:rFonts w:eastAsiaTheme="minorEastAsia"/>
                  <w:noProof/>
                  <w:sz w:val="24"/>
                  <w:szCs w:val="24"/>
                </w:rPr>
                <w:t>mohammad.bahmaid@kaust.edu.sa</w:t>
              </w:r>
            </w:hyperlink>
          </w:p>
        </w:tc>
        <w:tc>
          <w:tcPr>
            <w:tcW w:w="4675" w:type="dxa"/>
          </w:tcPr>
          <w:p w14:paraId="556364CF" w14:textId="77777777" w:rsidR="003506B9" w:rsidRDefault="003506B9">
            <w:pPr>
              <w:spacing w:after="120" w:line="240" w:lineRule="auto"/>
              <w:rPr>
                <w:sz w:val="32"/>
                <w:szCs w:val="32"/>
                <w:u w:val="single"/>
              </w:rPr>
            </w:pPr>
            <w:r>
              <w:rPr>
                <w:sz w:val="32"/>
                <w:szCs w:val="32"/>
                <w:u w:val="single"/>
              </w:rPr>
              <w:t>Back-up Radiation Safety Officer:</w:t>
            </w:r>
          </w:p>
          <w:p w14:paraId="611F40F9" w14:textId="77777777" w:rsidR="003506B9" w:rsidRDefault="003506B9">
            <w:pPr>
              <w:spacing w:line="240" w:lineRule="auto"/>
              <w:rPr>
                <w:b/>
                <w:bCs/>
                <w:sz w:val="36"/>
                <w:szCs w:val="36"/>
              </w:rPr>
            </w:pPr>
            <w:r>
              <w:rPr>
                <w:b/>
                <w:bCs/>
                <w:sz w:val="36"/>
                <w:szCs w:val="36"/>
              </w:rPr>
              <w:t>Delphine Darios</w:t>
            </w:r>
          </w:p>
          <w:p w14:paraId="070C8041" w14:textId="77777777" w:rsidR="003506B9" w:rsidRDefault="003506B9">
            <w:pPr>
              <w:spacing w:line="240" w:lineRule="auto"/>
              <w:rPr>
                <w:rFonts w:eastAsiaTheme="minorEastAsia"/>
                <w:noProof/>
                <w:sz w:val="24"/>
                <w:szCs w:val="24"/>
              </w:rPr>
            </w:pPr>
            <w:r>
              <w:rPr>
                <w:rFonts w:eastAsiaTheme="minorEastAsia"/>
                <w:noProof/>
                <w:sz w:val="24"/>
                <w:szCs w:val="24"/>
              </w:rPr>
              <w:t>Al-Jazri Building (Bldg.4), Room 0250, WS16</w:t>
            </w:r>
          </w:p>
          <w:p w14:paraId="05A0F165" w14:textId="77777777" w:rsidR="003506B9" w:rsidRDefault="003506B9">
            <w:pPr>
              <w:spacing w:line="240" w:lineRule="auto"/>
              <w:rPr>
                <w:rFonts w:eastAsiaTheme="minorEastAsia"/>
                <w:noProof/>
                <w:sz w:val="24"/>
                <w:szCs w:val="24"/>
              </w:rPr>
            </w:pPr>
            <w:r>
              <w:rPr>
                <w:rFonts w:eastAsiaTheme="minorEastAsia"/>
                <w:noProof/>
                <w:sz w:val="24"/>
                <w:szCs w:val="24"/>
              </w:rPr>
              <w:t>Phone: 966 (012) 808 2206</w:t>
            </w:r>
          </w:p>
          <w:p w14:paraId="0A595083" w14:textId="4019EC9E" w:rsidR="003506B9" w:rsidRDefault="00440BDC" w:rsidP="00440BDC">
            <w:pPr>
              <w:spacing w:line="240" w:lineRule="auto"/>
              <w:rPr>
                <w:rFonts w:eastAsiaTheme="minorEastAsia"/>
                <w:noProof/>
                <w:sz w:val="24"/>
                <w:szCs w:val="24"/>
              </w:rPr>
            </w:pPr>
            <w:r>
              <w:rPr>
                <w:rFonts w:eastAsiaTheme="minorEastAsia"/>
                <w:noProof/>
                <w:sz w:val="24"/>
                <w:szCs w:val="24"/>
              </w:rPr>
              <w:t>Mobile: 966 (054) 470 0564</w:t>
            </w:r>
          </w:p>
          <w:p w14:paraId="1F727A7F" w14:textId="77777777" w:rsidR="003506B9" w:rsidRDefault="003506B9">
            <w:pPr>
              <w:spacing w:line="240" w:lineRule="auto"/>
              <w:rPr>
                <w:rFonts w:eastAsiaTheme="minorEastAsia"/>
                <w:noProof/>
                <w:color w:val="0000FF"/>
                <w:sz w:val="24"/>
                <w:szCs w:val="24"/>
                <w:u w:val="single"/>
              </w:rPr>
            </w:pPr>
            <w:r>
              <w:rPr>
                <w:rFonts w:eastAsiaTheme="minorEastAsia"/>
                <w:noProof/>
                <w:sz w:val="24"/>
                <w:szCs w:val="24"/>
              </w:rPr>
              <w:t xml:space="preserve">Email: </w:t>
            </w:r>
            <w:hyperlink r:id="rId11" w:history="1">
              <w:r>
                <w:rPr>
                  <w:rStyle w:val="Hyperlink"/>
                  <w:rFonts w:eastAsiaTheme="minorEastAsia"/>
                  <w:noProof/>
                </w:rPr>
                <w:t>delphine.darios</w:t>
              </w:r>
              <w:r>
                <w:rPr>
                  <w:rStyle w:val="Hyperlink"/>
                  <w:rFonts w:eastAsiaTheme="minorEastAsia"/>
                  <w:noProof/>
                  <w:sz w:val="24"/>
                  <w:szCs w:val="24"/>
                </w:rPr>
                <w:t>@kaust.edu.sa</w:t>
              </w:r>
            </w:hyperlink>
          </w:p>
        </w:tc>
      </w:tr>
      <w:tr w:rsidR="003506B9" w14:paraId="23F4664C" w14:textId="77777777" w:rsidTr="003506B9">
        <w:tc>
          <w:tcPr>
            <w:tcW w:w="4675" w:type="dxa"/>
            <w:hideMark/>
          </w:tcPr>
          <w:p w14:paraId="6A9CC0F3" w14:textId="77777777" w:rsidR="003506B9" w:rsidRDefault="003506B9">
            <w:pPr>
              <w:spacing w:before="240" w:after="120" w:line="240" w:lineRule="auto"/>
              <w:rPr>
                <w:sz w:val="32"/>
                <w:szCs w:val="32"/>
                <w:u w:val="single"/>
              </w:rPr>
            </w:pPr>
            <w:r>
              <w:rPr>
                <w:sz w:val="32"/>
                <w:szCs w:val="32"/>
                <w:u w:val="single"/>
              </w:rPr>
              <w:t>Responsible Person</w:t>
            </w:r>
          </w:p>
          <w:p w14:paraId="1AA316ED" w14:textId="2837E4CB" w:rsidR="003506B9" w:rsidRPr="00A23CE1" w:rsidRDefault="00A23CE1">
            <w:pPr>
              <w:spacing w:after="120" w:line="240" w:lineRule="auto"/>
              <w:rPr>
                <w:b/>
                <w:bCs/>
                <w:color w:val="FF0000"/>
                <w:sz w:val="36"/>
                <w:szCs w:val="36"/>
              </w:rPr>
            </w:pPr>
            <w:r w:rsidRPr="00A23CE1">
              <w:rPr>
                <w:b/>
                <w:bCs/>
                <w:color w:val="FF0000"/>
                <w:sz w:val="36"/>
                <w:szCs w:val="36"/>
              </w:rPr>
              <w:t>Name</w:t>
            </w:r>
          </w:p>
          <w:p w14:paraId="7DB3441B" w14:textId="0B9D688B" w:rsidR="003506B9" w:rsidRDefault="003506B9" w:rsidP="00A23CE1">
            <w:pPr>
              <w:spacing w:line="240" w:lineRule="auto"/>
              <w:rPr>
                <w:rFonts w:eastAsiaTheme="minorEastAsia"/>
                <w:noProof/>
                <w:sz w:val="24"/>
                <w:szCs w:val="24"/>
              </w:rPr>
            </w:pPr>
            <w:r>
              <w:rPr>
                <w:rFonts w:eastAsiaTheme="minorEastAsia"/>
                <w:noProof/>
                <w:sz w:val="24"/>
                <w:szCs w:val="24"/>
              </w:rPr>
              <w:t xml:space="preserve">Phone: 966 (012) 808 </w:t>
            </w:r>
            <w:r w:rsidR="00A23CE1">
              <w:rPr>
                <w:rFonts w:eastAsiaTheme="minorEastAsia"/>
                <w:noProof/>
                <w:color w:val="FF0000"/>
                <w:sz w:val="24"/>
                <w:szCs w:val="24"/>
              </w:rPr>
              <w:t>####</w:t>
            </w:r>
          </w:p>
          <w:p w14:paraId="6148C0FC" w14:textId="6638D772" w:rsidR="003506B9" w:rsidRDefault="003506B9" w:rsidP="00A23CE1">
            <w:pPr>
              <w:spacing w:line="240" w:lineRule="auto"/>
              <w:rPr>
                <w:rFonts w:eastAsiaTheme="minorEastAsia"/>
                <w:noProof/>
                <w:sz w:val="24"/>
                <w:szCs w:val="24"/>
              </w:rPr>
            </w:pPr>
            <w:r>
              <w:rPr>
                <w:rFonts w:eastAsiaTheme="minorEastAsia"/>
                <w:noProof/>
                <w:sz w:val="24"/>
                <w:szCs w:val="24"/>
              </w:rPr>
              <w:t xml:space="preserve">Mobile: 966 (054) </w:t>
            </w:r>
            <w:r w:rsidR="00A23CE1" w:rsidRPr="00A23CE1">
              <w:rPr>
                <w:rFonts w:eastAsiaTheme="minorEastAsia"/>
                <w:noProof/>
                <w:color w:val="FF0000"/>
                <w:sz w:val="24"/>
                <w:szCs w:val="24"/>
              </w:rPr>
              <w:t>### ####</w:t>
            </w:r>
          </w:p>
          <w:p w14:paraId="3F206315" w14:textId="583E8EDC" w:rsidR="003506B9" w:rsidRDefault="003506B9" w:rsidP="00A23CE1">
            <w:pPr>
              <w:spacing w:after="120" w:line="240" w:lineRule="auto"/>
              <w:rPr>
                <w:b/>
                <w:bCs/>
                <w:sz w:val="36"/>
                <w:szCs w:val="36"/>
                <w:u w:val="single"/>
              </w:rPr>
            </w:pPr>
            <w:r>
              <w:rPr>
                <w:rFonts w:eastAsiaTheme="minorEastAsia"/>
                <w:noProof/>
                <w:sz w:val="24"/>
                <w:szCs w:val="24"/>
              </w:rPr>
              <w:t xml:space="preserve">Email: </w:t>
            </w:r>
            <w:hyperlink r:id="rId12" w:history="1">
              <w:r w:rsidR="00A23CE1" w:rsidRPr="00B53F0B">
                <w:rPr>
                  <w:rStyle w:val="Hyperlink"/>
                  <w:rFonts w:eastAsiaTheme="minorEastAsia"/>
                  <w:noProof/>
                  <w:sz w:val="24"/>
                  <w:szCs w:val="24"/>
                </w:rPr>
                <w:t>#######@kaust.edu.sa</w:t>
              </w:r>
            </w:hyperlink>
          </w:p>
        </w:tc>
        <w:tc>
          <w:tcPr>
            <w:tcW w:w="4675" w:type="dxa"/>
          </w:tcPr>
          <w:p w14:paraId="7B2A494D" w14:textId="6F53DA41" w:rsidR="00A23CE1" w:rsidRDefault="00A23CE1" w:rsidP="00A23CE1">
            <w:pPr>
              <w:spacing w:before="240" w:after="120" w:line="240" w:lineRule="auto"/>
              <w:rPr>
                <w:sz w:val="32"/>
                <w:szCs w:val="32"/>
                <w:u w:val="single"/>
              </w:rPr>
            </w:pPr>
            <w:r>
              <w:rPr>
                <w:sz w:val="32"/>
                <w:szCs w:val="32"/>
                <w:u w:val="single"/>
              </w:rPr>
              <w:t>Principal Investigator</w:t>
            </w:r>
          </w:p>
          <w:p w14:paraId="204B1060" w14:textId="77777777" w:rsidR="00A23CE1" w:rsidRPr="00A23CE1" w:rsidRDefault="00A23CE1" w:rsidP="00A23CE1">
            <w:pPr>
              <w:spacing w:after="120" w:line="240" w:lineRule="auto"/>
              <w:rPr>
                <w:b/>
                <w:bCs/>
                <w:color w:val="FF0000"/>
                <w:sz w:val="36"/>
                <w:szCs w:val="36"/>
              </w:rPr>
            </w:pPr>
            <w:r w:rsidRPr="00A23CE1">
              <w:rPr>
                <w:b/>
                <w:bCs/>
                <w:color w:val="FF0000"/>
                <w:sz w:val="36"/>
                <w:szCs w:val="36"/>
              </w:rPr>
              <w:t>Name</w:t>
            </w:r>
          </w:p>
          <w:p w14:paraId="7AC00106" w14:textId="77777777" w:rsidR="00A23CE1" w:rsidRDefault="00A23CE1" w:rsidP="00A23CE1">
            <w:pPr>
              <w:spacing w:line="240" w:lineRule="auto"/>
              <w:rPr>
                <w:rFonts w:eastAsiaTheme="minorEastAsia"/>
                <w:noProof/>
                <w:sz w:val="24"/>
                <w:szCs w:val="24"/>
              </w:rPr>
            </w:pPr>
            <w:r>
              <w:rPr>
                <w:rFonts w:eastAsiaTheme="minorEastAsia"/>
                <w:noProof/>
                <w:sz w:val="24"/>
                <w:szCs w:val="24"/>
              </w:rPr>
              <w:t xml:space="preserve">Phone: 966 (012) 808 </w:t>
            </w:r>
            <w:r>
              <w:rPr>
                <w:rFonts w:eastAsiaTheme="minorEastAsia"/>
                <w:noProof/>
                <w:color w:val="FF0000"/>
                <w:sz w:val="24"/>
                <w:szCs w:val="24"/>
              </w:rPr>
              <w:t>####</w:t>
            </w:r>
          </w:p>
          <w:p w14:paraId="32F42E54" w14:textId="77777777" w:rsidR="00A23CE1" w:rsidRDefault="00A23CE1" w:rsidP="00A23CE1">
            <w:pPr>
              <w:spacing w:line="240" w:lineRule="auto"/>
              <w:rPr>
                <w:rFonts w:eastAsiaTheme="minorEastAsia"/>
                <w:noProof/>
                <w:sz w:val="24"/>
                <w:szCs w:val="24"/>
              </w:rPr>
            </w:pPr>
            <w:r>
              <w:rPr>
                <w:rFonts w:eastAsiaTheme="minorEastAsia"/>
                <w:noProof/>
                <w:sz w:val="24"/>
                <w:szCs w:val="24"/>
              </w:rPr>
              <w:t xml:space="preserve">Mobile: 966 (054) </w:t>
            </w:r>
            <w:r w:rsidRPr="00A23CE1">
              <w:rPr>
                <w:rFonts w:eastAsiaTheme="minorEastAsia"/>
                <w:noProof/>
                <w:color w:val="FF0000"/>
                <w:sz w:val="24"/>
                <w:szCs w:val="24"/>
              </w:rPr>
              <w:t>### ####</w:t>
            </w:r>
          </w:p>
          <w:p w14:paraId="5885E6CF" w14:textId="5CA21CC3" w:rsidR="003506B9" w:rsidRDefault="00A23CE1" w:rsidP="00A23CE1">
            <w:pPr>
              <w:spacing w:after="160"/>
              <w:rPr>
                <w:b/>
                <w:bCs/>
                <w:sz w:val="36"/>
                <w:szCs w:val="36"/>
              </w:rPr>
            </w:pPr>
            <w:r>
              <w:rPr>
                <w:rFonts w:eastAsiaTheme="minorEastAsia"/>
                <w:noProof/>
                <w:sz w:val="24"/>
                <w:szCs w:val="24"/>
              </w:rPr>
              <w:t xml:space="preserve">Email: </w:t>
            </w:r>
            <w:hyperlink r:id="rId13" w:history="1">
              <w:r w:rsidRPr="00B53F0B">
                <w:rPr>
                  <w:rStyle w:val="Hyperlink"/>
                  <w:rFonts w:eastAsiaTheme="minorEastAsia"/>
                  <w:noProof/>
                  <w:sz w:val="24"/>
                  <w:szCs w:val="24"/>
                </w:rPr>
                <w:t>#######@kaust.edu.sa</w:t>
              </w:r>
            </w:hyperlink>
          </w:p>
        </w:tc>
      </w:tr>
    </w:tbl>
    <w:p w14:paraId="661BF5EE" w14:textId="53778846" w:rsidR="00C65DAC" w:rsidRDefault="00C65DAC" w:rsidP="0030202D">
      <w:pPr>
        <w:pStyle w:val="Heading1"/>
        <w:rPr>
          <w:b w:val="0"/>
          <w:bCs/>
        </w:rPr>
      </w:pPr>
      <w:r w:rsidRPr="0030202D">
        <w:rPr>
          <w:bCs/>
        </w:rPr>
        <w:lastRenderedPageBreak/>
        <w:t>Introduction</w:t>
      </w:r>
    </w:p>
    <w:p w14:paraId="017FD0DA" w14:textId="73B330A1" w:rsidR="0081625D" w:rsidRPr="0081625D" w:rsidRDefault="000E029D" w:rsidP="00040177">
      <w:pPr>
        <w:jc w:val="both"/>
      </w:pPr>
      <w:r>
        <w:t xml:space="preserve">The purpose of these Local Rules is to set out the key arrangements for restricting exposure to ionizing radiation from work with </w:t>
      </w:r>
      <w:r w:rsidR="00040177">
        <w:t>radiation-producing equipment</w:t>
      </w:r>
      <w:r>
        <w:t>. The Local Rules have been writt</w:t>
      </w:r>
      <w:r w:rsidR="00506144">
        <w:t>en in compliance with article</w:t>
      </w:r>
      <w:r>
        <w:t xml:space="preserve"> </w:t>
      </w:r>
      <w:r w:rsidR="00D50F3E">
        <w:t>(</w:t>
      </w:r>
      <w:r>
        <w:t>57</w:t>
      </w:r>
      <w:r w:rsidR="00D50F3E">
        <w:t>)</w:t>
      </w:r>
      <w:r>
        <w:t xml:space="preserve"> of the General Instructions on Protection against Ionizing Radiation i</w:t>
      </w:r>
      <w:r w:rsidR="00DC56F2">
        <w:t>n the Kingdom of Saudi Arabia (</w:t>
      </w:r>
      <w:r>
        <w:t>2007).</w:t>
      </w:r>
    </w:p>
    <w:p w14:paraId="64EA3397" w14:textId="1EF431FC" w:rsidR="0030202D" w:rsidRPr="0030202D" w:rsidRDefault="0030202D" w:rsidP="0030202D">
      <w:pPr>
        <w:pStyle w:val="Heading2"/>
        <w:rPr>
          <w:b/>
          <w:bCs/>
          <w:color w:val="auto"/>
        </w:rPr>
      </w:pPr>
      <w:r w:rsidRPr="0030202D">
        <w:rPr>
          <w:b/>
          <w:bCs/>
          <w:color w:val="auto"/>
        </w:rPr>
        <w:t>Purpose</w:t>
      </w:r>
    </w:p>
    <w:p w14:paraId="4DCB4889" w14:textId="775B4D7C" w:rsidR="00A23CE1" w:rsidRPr="00BB6AA6" w:rsidRDefault="00A23CE1" w:rsidP="00A23CE1">
      <w:pPr>
        <w:jc w:val="both"/>
        <w:rPr>
          <w:i/>
          <w:iCs/>
          <w:color w:val="FF0000"/>
        </w:rPr>
      </w:pPr>
      <w:r w:rsidRPr="00BB6AA6">
        <w:rPr>
          <w:i/>
          <w:iCs/>
          <w:color w:val="FF0000"/>
        </w:rPr>
        <w:t>For SEM/TEM, X-ray Analysis Equipment</w:t>
      </w:r>
    </w:p>
    <w:p w14:paraId="59B697E2" w14:textId="10B08629" w:rsidR="00C65DAC" w:rsidRPr="00BB6AA6" w:rsidRDefault="00C65DAC" w:rsidP="00506144">
      <w:pPr>
        <w:spacing w:after="120"/>
        <w:jc w:val="both"/>
        <w:rPr>
          <w:color w:val="2E74B5" w:themeColor="accent1" w:themeShade="BF"/>
        </w:rPr>
      </w:pPr>
      <w:r w:rsidRPr="00BB6AA6">
        <w:rPr>
          <w:color w:val="2E74B5" w:themeColor="accent1" w:themeShade="BF"/>
        </w:rPr>
        <w:t>The purpose of the SOP is to describe the operation for safe use of</w:t>
      </w:r>
      <w:r w:rsidR="0058523D" w:rsidRPr="00BB6AA6">
        <w:rPr>
          <w:color w:val="2E74B5" w:themeColor="accent1" w:themeShade="BF"/>
        </w:rPr>
        <w:t xml:space="preserve"> all radiation producing equipment which have</w:t>
      </w:r>
      <w:r w:rsidR="002D5A64" w:rsidRPr="00BB6AA6">
        <w:rPr>
          <w:color w:val="2E74B5" w:themeColor="accent1" w:themeShade="BF"/>
        </w:rPr>
        <w:t xml:space="preserve"> an</w:t>
      </w:r>
      <w:r w:rsidR="0058523D" w:rsidRPr="00BB6AA6">
        <w:rPr>
          <w:color w:val="2E74B5" w:themeColor="accent1" w:themeShade="BF"/>
        </w:rPr>
        <w:t xml:space="preserve"> enclose</w:t>
      </w:r>
      <w:r w:rsidR="002D5A64" w:rsidRPr="00BB6AA6">
        <w:rPr>
          <w:color w:val="2E74B5" w:themeColor="accent1" w:themeShade="BF"/>
        </w:rPr>
        <w:t>d</w:t>
      </w:r>
      <w:r w:rsidR="0058523D" w:rsidRPr="00BB6AA6">
        <w:rPr>
          <w:color w:val="2E74B5" w:themeColor="accent1" w:themeShade="BF"/>
        </w:rPr>
        <w:t xml:space="preserve"> and shielded x-ray beam such as scanning electron microscopes, x-ray analysis equipment, </w:t>
      </w:r>
      <w:r w:rsidR="00040177" w:rsidRPr="00BB6AA6">
        <w:rPr>
          <w:color w:val="2E74B5" w:themeColor="accent1" w:themeShade="BF"/>
        </w:rPr>
        <w:t>etc</w:t>
      </w:r>
      <w:r w:rsidR="002D5A64" w:rsidRPr="00BB6AA6">
        <w:rPr>
          <w:color w:val="2E74B5" w:themeColor="accent1" w:themeShade="BF"/>
        </w:rPr>
        <w:t>.</w:t>
      </w:r>
    </w:p>
    <w:p w14:paraId="35EABE0C" w14:textId="6A66BBB9" w:rsidR="00A23CE1" w:rsidRPr="00BB6AA6" w:rsidRDefault="00A23CE1" w:rsidP="00A23CE1">
      <w:pPr>
        <w:rPr>
          <w:i/>
          <w:iCs/>
          <w:color w:val="FF0000"/>
        </w:rPr>
      </w:pPr>
      <w:r w:rsidRPr="00BB6AA6">
        <w:rPr>
          <w:i/>
          <w:iCs/>
          <w:color w:val="FF0000"/>
        </w:rPr>
        <w:t>For CT/Irradiator, etc.</w:t>
      </w:r>
    </w:p>
    <w:p w14:paraId="6B196EA7" w14:textId="0989A41C" w:rsidR="00A23CE1" w:rsidRPr="00BB6AA6" w:rsidRDefault="00A23CE1" w:rsidP="00A23CE1">
      <w:pPr>
        <w:rPr>
          <w:color w:val="538135" w:themeColor="accent6" w:themeShade="BF"/>
        </w:rPr>
      </w:pPr>
      <w:r w:rsidRPr="00BB6AA6">
        <w:rPr>
          <w:color w:val="538135" w:themeColor="accent6" w:themeShade="BF"/>
        </w:rPr>
        <w:t>The purpose of the SOP is to describe the operation for safe use of:</w:t>
      </w:r>
    </w:p>
    <w:tbl>
      <w:tblPr>
        <w:tblStyle w:val="TableGrid"/>
        <w:tblW w:w="0" w:type="auto"/>
        <w:jc w:val="center"/>
        <w:tblLook w:val="04A0" w:firstRow="1" w:lastRow="0" w:firstColumn="1" w:lastColumn="0" w:noHBand="0" w:noVBand="1"/>
      </w:tblPr>
      <w:tblGrid>
        <w:gridCol w:w="1885"/>
        <w:gridCol w:w="1350"/>
        <w:gridCol w:w="4770"/>
        <w:gridCol w:w="1345"/>
      </w:tblGrid>
      <w:tr w:rsidR="00BB6AA6" w:rsidRPr="00BB6AA6" w14:paraId="77C0CCE3" w14:textId="77777777" w:rsidTr="00FB7744">
        <w:trPr>
          <w:trHeight w:val="576"/>
          <w:jc w:val="center"/>
        </w:trPr>
        <w:tc>
          <w:tcPr>
            <w:tcW w:w="1885" w:type="dxa"/>
            <w:shd w:val="clear" w:color="auto" w:fill="D9D9D9" w:themeFill="background1" w:themeFillShade="D9"/>
            <w:vAlign w:val="center"/>
          </w:tcPr>
          <w:p w14:paraId="49B6FB99" w14:textId="77777777" w:rsidR="00A23CE1" w:rsidRPr="00BB6AA6" w:rsidRDefault="00A23CE1" w:rsidP="00FB7744">
            <w:pPr>
              <w:jc w:val="center"/>
              <w:rPr>
                <w:b/>
                <w:bCs/>
                <w:color w:val="538135" w:themeColor="accent6" w:themeShade="BF"/>
              </w:rPr>
            </w:pPr>
            <w:r w:rsidRPr="00BB6AA6">
              <w:rPr>
                <w:b/>
                <w:bCs/>
                <w:color w:val="538135" w:themeColor="accent6" w:themeShade="BF"/>
              </w:rPr>
              <w:t>Description</w:t>
            </w:r>
          </w:p>
        </w:tc>
        <w:tc>
          <w:tcPr>
            <w:tcW w:w="1350" w:type="dxa"/>
            <w:shd w:val="clear" w:color="auto" w:fill="D9D9D9" w:themeFill="background1" w:themeFillShade="D9"/>
            <w:vAlign w:val="center"/>
          </w:tcPr>
          <w:p w14:paraId="0BDEEB09" w14:textId="77777777" w:rsidR="00A23CE1" w:rsidRPr="00BB6AA6" w:rsidRDefault="00A23CE1" w:rsidP="00FB7744">
            <w:pPr>
              <w:jc w:val="center"/>
              <w:rPr>
                <w:b/>
                <w:bCs/>
                <w:color w:val="538135" w:themeColor="accent6" w:themeShade="BF"/>
              </w:rPr>
            </w:pPr>
            <w:r w:rsidRPr="00BB6AA6">
              <w:rPr>
                <w:b/>
                <w:bCs/>
                <w:color w:val="538135" w:themeColor="accent6" w:themeShade="BF"/>
              </w:rPr>
              <w:t>Asset No</w:t>
            </w:r>
          </w:p>
        </w:tc>
        <w:tc>
          <w:tcPr>
            <w:tcW w:w="4770" w:type="dxa"/>
            <w:shd w:val="clear" w:color="auto" w:fill="D9D9D9" w:themeFill="background1" w:themeFillShade="D9"/>
            <w:vAlign w:val="center"/>
          </w:tcPr>
          <w:p w14:paraId="01EB7291" w14:textId="77777777" w:rsidR="00A23CE1" w:rsidRPr="00BB6AA6" w:rsidRDefault="00A23CE1" w:rsidP="00FB7744">
            <w:pPr>
              <w:jc w:val="center"/>
              <w:rPr>
                <w:b/>
                <w:bCs/>
                <w:color w:val="538135" w:themeColor="accent6" w:themeShade="BF"/>
              </w:rPr>
            </w:pPr>
            <w:r w:rsidRPr="00BB6AA6">
              <w:rPr>
                <w:b/>
                <w:bCs/>
                <w:color w:val="538135" w:themeColor="accent6" w:themeShade="BF"/>
              </w:rPr>
              <w:t>Manufacturer &amp; Model</w:t>
            </w:r>
          </w:p>
        </w:tc>
        <w:tc>
          <w:tcPr>
            <w:tcW w:w="1345" w:type="dxa"/>
            <w:shd w:val="clear" w:color="auto" w:fill="D9D9D9" w:themeFill="background1" w:themeFillShade="D9"/>
            <w:vAlign w:val="center"/>
          </w:tcPr>
          <w:p w14:paraId="4096E44A" w14:textId="77777777" w:rsidR="00A23CE1" w:rsidRPr="00BB6AA6" w:rsidRDefault="00A23CE1" w:rsidP="00FB7744">
            <w:pPr>
              <w:jc w:val="center"/>
              <w:rPr>
                <w:b/>
                <w:bCs/>
                <w:color w:val="538135" w:themeColor="accent6" w:themeShade="BF"/>
              </w:rPr>
            </w:pPr>
            <w:r w:rsidRPr="00BB6AA6">
              <w:rPr>
                <w:b/>
                <w:bCs/>
                <w:color w:val="538135" w:themeColor="accent6" w:themeShade="BF"/>
              </w:rPr>
              <w:t xml:space="preserve">Location </w:t>
            </w:r>
            <w:r w:rsidRPr="00BB6AA6">
              <w:rPr>
                <w:b/>
                <w:bCs/>
                <w:color w:val="538135" w:themeColor="accent6" w:themeShade="BF"/>
                <w:sz w:val="18"/>
                <w:szCs w:val="18"/>
              </w:rPr>
              <w:t>(e.g. B4-0250)</w:t>
            </w:r>
          </w:p>
        </w:tc>
      </w:tr>
      <w:tr w:rsidR="00A23CE1" w:rsidRPr="00BB6AA6" w14:paraId="470D53C3" w14:textId="77777777" w:rsidTr="00FB7744">
        <w:trPr>
          <w:trHeight w:val="576"/>
          <w:jc w:val="center"/>
        </w:trPr>
        <w:tc>
          <w:tcPr>
            <w:tcW w:w="1885" w:type="dxa"/>
            <w:vAlign w:val="center"/>
          </w:tcPr>
          <w:p w14:paraId="3A8127C9" w14:textId="09174C71" w:rsidR="00A23CE1" w:rsidRPr="00BB6AA6" w:rsidRDefault="00A23CE1" w:rsidP="00FB7744">
            <w:pPr>
              <w:jc w:val="center"/>
              <w:rPr>
                <w:color w:val="538135" w:themeColor="accent6" w:themeShade="BF"/>
              </w:rPr>
            </w:pPr>
            <w:r w:rsidRPr="00BB6AA6">
              <w:rPr>
                <w:color w:val="538135" w:themeColor="accent6" w:themeShade="BF"/>
              </w:rPr>
              <w:t>CT/irradiator</w:t>
            </w:r>
          </w:p>
        </w:tc>
        <w:tc>
          <w:tcPr>
            <w:tcW w:w="1350" w:type="dxa"/>
            <w:vAlign w:val="center"/>
          </w:tcPr>
          <w:p w14:paraId="07E025A9" w14:textId="63E9A281" w:rsidR="00A23CE1" w:rsidRPr="00BB6AA6" w:rsidRDefault="00A23CE1" w:rsidP="00FB7744">
            <w:pPr>
              <w:jc w:val="center"/>
              <w:rPr>
                <w:color w:val="538135" w:themeColor="accent6" w:themeShade="BF"/>
              </w:rPr>
            </w:pPr>
            <w:r w:rsidRPr="00BB6AA6">
              <w:rPr>
                <w:color w:val="538135" w:themeColor="accent6" w:themeShade="BF"/>
              </w:rPr>
              <w:t>####</w:t>
            </w:r>
          </w:p>
        </w:tc>
        <w:tc>
          <w:tcPr>
            <w:tcW w:w="4770" w:type="dxa"/>
            <w:vAlign w:val="center"/>
          </w:tcPr>
          <w:p w14:paraId="3D117D7E" w14:textId="6F605660" w:rsidR="00A23CE1" w:rsidRPr="00BB6AA6" w:rsidRDefault="00A23CE1" w:rsidP="00FB7744">
            <w:pPr>
              <w:jc w:val="center"/>
              <w:rPr>
                <w:color w:val="538135" w:themeColor="accent6" w:themeShade="BF"/>
              </w:rPr>
            </w:pPr>
            <w:r w:rsidRPr="00BB6AA6">
              <w:rPr>
                <w:color w:val="538135" w:themeColor="accent6" w:themeShade="BF"/>
              </w:rPr>
              <w:t>#####</w:t>
            </w:r>
          </w:p>
        </w:tc>
        <w:tc>
          <w:tcPr>
            <w:tcW w:w="1345" w:type="dxa"/>
            <w:vAlign w:val="center"/>
          </w:tcPr>
          <w:p w14:paraId="63080DFB" w14:textId="7A3B3E20" w:rsidR="00A23CE1" w:rsidRPr="00BB6AA6" w:rsidRDefault="00A23CE1" w:rsidP="00A23CE1">
            <w:pPr>
              <w:jc w:val="center"/>
              <w:rPr>
                <w:color w:val="538135" w:themeColor="accent6" w:themeShade="BF"/>
              </w:rPr>
            </w:pPr>
            <w:r w:rsidRPr="00BB6AA6">
              <w:rPr>
                <w:color w:val="538135" w:themeColor="accent6" w:themeShade="BF"/>
              </w:rPr>
              <w:t>B# - ####</w:t>
            </w:r>
          </w:p>
        </w:tc>
      </w:tr>
    </w:tbl>
    <w:p w14:paraId="65534A29" w14:textId="77777777" w:rsidR="00A23CE1" w:rsidRPr="00BB6AA6" w:rsidRDefault="00A23CE1" w:rsidP="00A23CE1">
      <w:pPr>
        <w:rPr>
          <w:color w:val="538135" w:themeColor="accent6" w:themeShade="BF"/>
        </w:rPr>
      </w:pPr>
    </w:p>
    <w:p w14:paraId="4750FD6E" w14:textId="77777777" w:rsidR="00A23CE1" w:rsidRPr="00BB6AA6" w:rsidRDefault="00A23CE1" w:rsidP="00A23CE1">
      <w:pPr>
        <w:spacing w:after="120"/>
        <w:jc w:val="both"/>
        <w:rPr>
          <w:rFonts w:cs="Arial"/>
          <w:color w:val="538135" w:themeColor="accent6" w:themeShade="BF"/>
          <w:shd w:val="clear" w:color="auto" w:fill="FFFFFF"/>
        </w:rPr>
      </w:pPr>
      <w:r w:rsidRPr="00BB6AA6">
        <w:rPr>
          <w:rFonts w:cs="Arial"/>
          <w:b/>
          <w:bCs/>
          <w:color w:val="538135" w:themeColor="accent6" w:themeShade="BF"/>
          <w:shd w:val="clear" w:color="auto" w:fill="FFFFFF"/>
        </w:rPr>
        <w:t>CT –</w:t>
      </w:r>
      <w:r w:rsidRPr="00BB6AA6">
        <w:rPr>
          <w:rFonts w:cs="Arial"/>
          <w:color w:val="538135" w:themeColor="accent6" w:themeShade="BF"/>
          <w:shd w:val="clear" w:color="auto" w:fill="FFFFFF"/>
        </w:rPr>
        <w:t xml:space="preserve"> Computed Tomography. This equipment comprises an x-ray tube that provides high resolution, 3D images of samples. The beam is typically fully enclosed in a shielded enclosure. Output voltage up to 225 kV.</w:t>
      </w:r>
    </w:p>
    <w:p w14:paraId="32F86829" w14:textId="2AB164CC" w:rsidR="0030202D" w:rsidRDefault="0030202D" w:rsidP="006672FF">
      <w:pPr>
        <w:pStyle w:val="Heading2"/>
        <w:rPr>
          <w:b/>
          <w:bCs/>
          <w:color w:val="auto"/>
        </w:rPr>
      </w:pPr>
      <w:r w:rsidRPr="005B641A">
        <w:rPr>
          <w:b/>
          <w:bCs/>
          <w:color w:val="auto"/>
        </w:rPr>
        <w:t>Potential Hazards</w:t>
      </w:r>
      <w:r w:rsidR="00AE4470" w:rsidRPr="005B641A">
        <w:rPr>
          <w:b/>
          <w:bCs/>
          <w:color w:val="auto"/>
        </w:rPr>
        <w:t xml:space="preserve"> &amp; Risk Assessment</w:t>
      </w:r>
    </w:p>
    <w:p w14:paraId="7BC5EEF7" w14:textId="2552BA8F" w:rsidR="00A23CE1" w:rsidRPr="00A23CE1" w:rsidRDefault="00A23CE1" w:rsidP="00A23CE1">
      <w:pPr>
        <w:rPr>
          <w:color w:val="FF0000"/>
        </w:rPr>
      </w:pPr>
      <w:r w:rsidRPr="00A23CE1">
        <w:rPr>
          <w:color w:val="FF0000"/>
        </w:rPr>
        <w:t>Please remove</w:t>
      </w:r>
      <w:r>
        <w:rPr>
          <w:color w:val="FF0000"/>
        </w:rPr>
        <w:t xml:space="preserve"> point</w:t>
      </w:r>
      <w:r w:rsidRPr="00A23CE1">
        <w:rPr>
          <w:color w:val="FF0000"/>
        </w:rPr>
        <w:t xml:space="preserve"> 3 and/or 4 if they don’t apply</w:t>
      </w:r>
    </w:p>
    <w:p w14:paraId="1D065B46" w14:textId="3247874B" w:rsidR="0030202D" w:rsidRDefault="0030202D" w:rsidP="005B641A">
      <w:r>
        <w:t>Failure to f</w:t>
      </w:r>
      <w:r w:rsidR="005B641A">
        <w:t xml:space="preserve">ollow these Local Rules </w:t>
      </w:r>
      <w:r>
        <w:t>may results in exposure to:</w:t>
      </w:r>
    </w:p>
    <w:p w14:paraId="44361576" w14:textId="174CC4FA" w:rsidR="0030202D" w:rsidRDefault="0030202D" w:rsidP="00040177">
      <w:pPr>
        <w:pStyle w:val="ListParagraph"/>
        <w:numPr>
          <w:ilvl w:val="0"/>
          <w:numId w:val="4"/>
        </w:numPr>
        <w:jc w:val="both"/>
      </w:pPr>
      <w:r w:rsidRPr="00AE4470">
        <w:rPr>
          <w:b/>
          <w:bCs/>
        </w:rPr>
        <w:t>X-ray</w:t>
      </w:r>
      <w:r w:rsidR="00AE4470" w:rsidRPr="00AE4470">
        <w:rPr>
          <w:b/>
          <w:bCs/>
        </w:rPr>
        <w:t xml:space="preserve"> -</w:t>
      </w:r>
      <w:r>
        <w:t xml:space="preserve"> X-rays are produce</w:t>
      </w:r>
      <w:r w:rsidR="0025456B">
        <w:t>d</w:t>
      </w:r>
      <w:r>
        <w:t xml:space="preserve"> w</w:t>
      </w:r>
      <w:r w:rsidR="00040177">
        <w:t>ithin the</w:t>
      </w:r>
      <w:r>
        <w:t xml:space="preserve"> equipment </w:t>
      </w:r>
      <w:r w:rsidR="00B8705B">
        <w:t>by the x-ray tube</w:t>
      </w:r>
      <w:r>
        <w:t>. The design</w:t>
      </w:r>
      <w:r w:rsidR="0025456B">
        <w:t xml:space="preserve"> o</w:t>
      </w:r>
      <w:r w:rsidR="007E4F11">
        <w:t>f</w:t>
      </w:r>
      <w:r w:rsidR="0025456B">
        <w:t xml:space="preserve"> the device ensures </w:t>
      </w:r>
      <w:r w:rsidR="00AE4470">
        <w:t xml:space="preserve">that all </w:t>
      </w:r>
      <w:r w:rsidR="00040177">
        <w:t>x</w:t>
      </w:r>
      <w:r w:rsidR="00AE4470">
        <w:t xml:space="preserve">-rays </w:t>
      </w:r>
      <w:r w:rsidR="00B8705B">
        <w:t>produced are contained within a shielded enclosure</w:t>
      </w:r>
      <w:r w:rsidR="00AE4470">
        <w:t xml:space="preserve">. Safety interlocks are </w:t>
      </w:r>
      <w:r w:rsidR="007E4F11">
        <w:t xml:space="preserve">installed </w:t>
      </w:r>
      <w:r w:rsidR="00AE4470">
        <w:t xml:space="preserve">to prevent </w:t>
      </w:r>
      <w:r w:rsidR="008D5E59">
        <w:t xml:space="preserve">the device from producing </w:t>
      </w:r>
      <w:r w:rsidR="00AE4470">
        <w:t xml:space="preserve">the </w:t>
      </w:r>
      <w:r w:rsidR="00626DCC">
        <w:t>x</w:t>
      </w:r>
      <w:r w:rsidR="00AE4470">
        <w:t>-ray beam if the device is not fully sealed</w:t>
      </w:r>
      <w:r w:rsidR="008D5E59">
        <w:t xml:space="preserve">. This </w:t>
      </w:r>
      <w:r w:rsidR="00B71E92">
        <w:t>greatly minimize</w:t>
      </w:r>
      <w:r w:rsidR="008D5E59">
        <w:t>s</w:t>
      </w:r>
      <w:r w:rsidR="00B71E92">
        <w:t xml:space="preserve"> the likelihood of getting an </w:t>
      </w:r>
      <w:r w:rsidR="00626DCC">
        <w:t>x</w:t>
      </w:r>
      <w:r w:rsidR="00B71E92">
        <w:t>-ray exposure</w:t>
      </w:r>
      <w:r w:rsidR="00AE4470">
        <w:t xml:space="preserve">. Users should not be exposed to radiation above background level when using this equipment according to </w:t>
      </w:r>
      <w:r w:rsidR="008E6E15">
        <w:t xml:space="preserve">the </w:t>
      </w:r>
      <w:r w:rsidR="00D35C81">
        <w:t>manufacturer specifications</w:t>
      </w:r>
      <w:r w:rsidR="00AE4470">
        <w:t>.</w:t>
      </w:r>
    </w:p>
    <w:p w14:paraId="7C835B48" w14:textId="6489D482" w:rsidR="00846B5E" w:rsidRDefault="00846B5E" w:rsidP="002D5A64">
      <w:pPr>
        <w:pStyle w:val="ListParagraph"/>
        <w:spacing w:after="120"/>
        <w:ind w:left="0"/>
        <w:contextualSpacing w:val="0"/>
        <w:jc w:val="both"/>
        <w:rPr>
          <w:b/>
          <w:bCs/>
        </w:rPr>
      </w:pPr>
      <w:r w:rsidRPr="00846B5E">
        <w:rPr>
          <w:b/>
          <w:bCs/>
        </w:rPr>
        <w:t>No staff is authorized to work with unshielded x-ray beams, i.e. when safety interlocks are disabled.</w:t>
      </w:r>
    </w:p>
    <w:p w14:paraId="07878D8A" w14:textId="57B7E02F" w:rsidR="0030202D" w:rsidRDefault="0030202D" w:rsidP="002F772C">
      <w:pPr>
        <w:pStyle w:val="ListParagraph"/>
        <w:numPr>
          <w:ilvl w:val="0"/>
          <w:numId w:val="28"/>
        </w:numPr>
        <w:spacing w:after="120"/>
        <w:contextualSpacing w:val="0"/>
        <w:jc w:val="both"/>
      </w:pPr>
      <w:r w:rsidRPr="00AE4470">
        <w:rPr>
          <w:b/>
          <w:bCs/>
        </w:rPr>
        <w:t>Electrical hazard</w:t>
      </w:r>
      <w:r w:rsidR="00AE4470" w:rsidRPr="00AE4470">
        <w:rPr>
          <w:b/>
          <w:bCs/>
        </w:rPr>
        <w:t xml:space="preserve"> –</w:t>
      </w:r>
      <w:r w:rsidR="00AE4470">
        <w:t xml:space="preserve"> In order to produce an </w:t>
      </w:r>
      <w:r w:rsidR="00626DCC">
        <w:t>x</w:t>
      </w:r>
      <w:r w:rsidR="00AE4470">
        <w:t xml:space="preserve">-ray beam the device requires a high voltage. The device should be grounded appropriately and the high voltage power supply should be lifted from the ground by approximately 5 cm to avoid being in contact with water in case of flood. </w:t>
      </w:r>
    </w:p>
    <w:p w14:paraId="0C8E79C5" w14:textId="0EB603FA" w:rsidR="002313F9" w:rsidRDefault="002313F9" w:rsidP="00091994">
      <w:pPr>
        <w:pStyle w:val="ListParagraph"/>
        <w:numPr>
          <w:ilvl w:val="0"/>
          <w:numId w:val="28"/>
        </w:numPr>
        <w:spacing w:after="120" w:line="259" w:lineRule="auto"/>
        <w:contextualSpacing w:val="0"/>
        <w:jc w:val="both"/>
      </w:pPr>
      <w:r w:rsidRPr="00AE4470">
        <w:rPr>
          <w:b/>
          <w:bCs/>
        </w:rPr>
        <w:t>Chemical hazard –</w:t>
      </w:r>
      <w:r>
        <w:t xml:space="preserve"> </w:t>
      </w:r>
      <w:r w:rsidR="002D5A64">
        <w:t>In some cases, chemicals</w:t>
      </w:r>
      <w:r>
        <w:t xml:space="preserve"> are used as part of the procedure</w:t>
      </w:r>
      <w:r w:rsidR="00091994">
        <w:t xml:space="preserve"> and a</w:t>
      </w:r>
      <w:r>
        <w:t xml:space="preserve">ll safety recommendations </w:t>
      </w:r>
      <w:r w:rsidR="00091994">
        <w:t>must</w:t>
      </w:r>
      <w:r>
        <w:t xml:space="preserve"> be followed</w:t>
      </w:r>
      <w:r w:rsidR="00091994">
        <w:t>, including the use of all required personal protective equipment</w:t>
      </w:r>
      <w:r>
        <w:t>. See</w:t>
      </w:r>
      <w:r w:rsidR="00040177">
        <w:t xml:space="preserve"> </w:t>
      </w:r>
      <w:hyperlink r:id="rId14" w:history="1">
        <w:r w:rsidR="00040177" w:rsidRPr="00040177">
          <w:rPr>
            <w:rStyle w:val="Hyperlink"/>
          </w:rPr>
          <w:t>Lab Safety Manual</w:t>
        </w:r>
      </w:hyperlink>
      <w:r>
        <w:t xml:space="preserve"> </w:t>
      </w:r>
      <w:r w:rsidR="00040177">
        <w:t>for more detailed information.</w:t>
      </w:r>
    </w:p>
    <w:p w14:paraId="61231D53" w14:textId="0E11A927" w:rsidR="002313F9" w:rsidRDefault="00506144" w:rsidP="002F772C">
      <w:pPr>
        <w:pStyle w:val="ListParagraph"/>
        <w:numPr>
          <w:ilvl w:val="0"/>
          <w:numId w:val="28"/>
        </w:numPr>
        <w:spacing w:after="160" w:line="259" w:lineRule="auto"/>
        <w:jc w:val="both"/>
      </w:pPr>
      <w:r>
        <w:rPr>
          <w:b/>
          <w:bCs/>
        </w:rPr>
        <w:t>Compressed</w:t>
      </w:r>
      <w:r w:rsidR="002313F9" w:rsidRPr="00B71E92">
        <w:rPr>
          <w:b/>
          <w:bCs/>
        </w:rPr>
        <w:t xml:space="preserve"> gases –</w:t>
      </w:r>
      <w:r w:rsidR="002313F9">
        <w:t xml:space="preserve"> </w:t>
      </w:r>
      <w:r w:rsidR="002D5A64">
        <w:t xml:space="preserve">In some cases </w:t>
      </w:r>
      <w:r>
        <w:t>compressed</w:t>
      </w:r>
      <w:r w:rsidR="002313F9">
        <w:t xml:space="preserve"> gases are used </w:t>
      </w:r>
      <w:r w:rsidR="002D5A64">
        <w:t>as part of the procedure</w:t>
      </w:r>
      <w:r w:rsidR="002313F9">
        <w:t>. Please ensure that all gas bottles have the appropriate regulator and are secured to a wall or bracket. For more information see the Compressed Gas Standard (</w:t>
      </w:r>
      <w:r w:rsidR="00040177">
        <w:t xml:space="preserve">see </w:t>
      </w:r>
      <w:hyperlink r:id="rId15" w:history="1">
        <w:r>
          <w:rPr>
            <w:rStyle w:val="Hyperlink"/>
          </w:rPr>
          <w:t>Compressed Gas Standard</w:t>
        </w:r>
      </w:hyperlink>
      <w:r w:rsidR="002313F9">
        <w:t>).</w:t>
      </w:r>
    </w:p>
    <w:p w14:paraId="7AD2AB92" w14:textId="4A926B07" w:rsidR="005B641A" w:rsidRPr="005B641A" w:rsidRDefault="005B641A" w:rsidP="005B641A">
      <w:pPr>
        <w:pStyle w:val="Heading2"/>
        <w:rPr>
          <w:b/>
          <w:bCs/>
          <w:color w:val="auto"/>
        </w:rPr>
      </w:pPr>
      <w:r w:rsidRPr="005B641A">
        <w:rPr>
          <w:b/>
          <w:bCs/>
          <w:color w:val="auto"/>
        </w:rPr>
        <w:lastRenderedPageBreak/>
        <w:t>Area Designation</w:t>
      </w:r>
    </w:p>
    <w:p w14:paraId="71CBD37E" w14:textId="282E623B" w:rsidR="00A23CE1" w:rsidRPr="00BB6AA6" w:rsidRDefault="00A23CE1" w:rsidP="00A23CE1">
      <w:pPr>
        <w:jc w:val="both"/>
        <w:rPr>
          <w:i/>
          <w:iCs/>
          <w:color w:val="FF0000"/>
        </w:rPr>
      </w:pPr>
      <w:r w:rsidRPr="00BB6AA6">
        <w:rPr>
          <w:i/>
          <w:iCs/>
          <w:color w:val="FF0000"/>
        </w:rPr>
        <w:t>For SEM/TEM, X-ray Analysis Equipment</w:t>
      </w:r>
    </w:p>
    <w:p w14:paraId="6E9B1646" w14:textId="361899FC" w:rsidR="00EA6CE9" w:rsidRPr="00BB6AA6" w:rsidRDefault="002D5A64" w:rsidP="00BB6AA6">
      <w:pPr>
        <w:jc w:val="both"/>
        <w:rPr>
          <w:color w:val="2E74B5" w:themeColor="accent1" w:themeShade="BF"/>
        </w:rPr>
      </w:pPr>
      <w:r w:rsidRPr="00BB6AA6">
        <w:rPr>
          <w:color w:val="2E74B5" w:themeColor="accent1" w:themeShade="BF"/>
        </w:rPr>
        <w:t>Laboratories where</w:t>
      </w:r>
      <w:r w:rsidR="00EA6CE9" w:rsidRPr="00BB6AA6">
        <w:rPr>
          <w:color w:val="2E74B5" w:themeColor="accent1" w:themeShade="BF"/>
        </w:rPr>
        <w:t xml:space="preserve"> x-ray equipment </w:t>
      </w:r>
      <w:r w:rsidR="00506144" w:rsidRPr="00BB6AA6">
        <w:rPr>
          <w:color w:val="2E74B5" w:themeColor="accent1" w:themeShade="BF"/>
        </w:rPr>
        <w:t>emittin</w:t>
      </w:r>
      <w:r w:rsidR="00BB6AA6" w:rsidRPr="00BB6AA6">
        <w:rPr>
          <w:color w:val="2E74B5" w:themeColor="accent1" w:themeShade="BF"/>
        </w:rPr>
        <w:t>g x-rays with energy below 50 k</w:t>
      </w:r>
      <w:r w:rsidR="00506144" w:rsidRPr="00BB6AA6">
        <w:rPr>
          <w:color w:val="2E74B5" w:themeColor="accent1" w:themeShade="BF"/>
        </w:rPr>
        <w:t>V and which are fully enclosed (e.g. electron microscopes,</w:t>
      </w:r>
      <w:r w:rsidR="0085682C" w:rsidRPr="00BB6AA6">
        <w:rPr>
          <w:color w:val="2E74B5" w:themeColor="accent1" w:themeShade="BF"/>
        </w:rPr>
        <w:t xml:space="preserve"> x-ray analysis equipment, etc.)</w:t>
      </w:r>
      <w:r w:rsidR="00B753E8" w:rsidRPr="00BB6AA6">
        <w:rPr>
          <w:color w:val="2E74B5" w:themeColor="accent1" w:themeShade="BF"/>
        </w:rPr>
        <w:t xml:space="preserve"> </w:t>
      </w:r>
      <w:r w:rsidR="00EA6CE9" w:rsidRPr="00BB6AA6">
        <w:rPr>
          <w:color w:val="2E74B5" w:themeColor="accent1" w:themeShade="BF"/>
        </w:rPr>
        <w:t>are</w:t>
      </w:r>
      <w:r w:rsidR="005B641A" w:rsidRPr="00BB6AA6">
        <w:rPr>
          <w:color w:val="2E74B5" w:themeColor="accent1" w:themeShade="BF"/>
        </w:rPr>
        <w:t xml:space="preserve"> designated as </w:t>
      </w:r>
      <w:r w:rsidR="00EA6CE9" w:rsidRPr="00BB6AA6">
        <w:rPr>
          <w:color w:val="2E74B5" w:themeColor="accent1" w:themeShade="BF"/>
          <w:u w:val="single"/>
        </w:rPr>
        <w:t>Non-Designated Area</w:t>
      </w:r>
      <w:r w:rsidR="00EA6CE9" w:rsidRPr="00BB6AA6">
        <w:rPr>
          <w:color w:val="2E74B5" w:themeColor="accent1" w:themeShade="BF"/>
        </w:rPr>
        <w:t xml:space="preserve">. There is no special restriction on access to the Non-Designated Area but x-ray equipment should be marked with a radiation hazard trefoil sign. In addition, only authorized users, who have gained permission through training, are allowed to operate the equipment. </w:t>
      </w:r>
    </w:p>
    <w:p w14:paraId="7EE8E65F" w14:textId="32DAA3BA" w:rsidR="00A23CE1" w:rsidRPr="00BB6AA6" w:rsidRDefault="00A23CE1" w:rsidP="00A23CE1">
      <w:pPr>
        <w:jc w:val="both"/>
        <w:rPr>
          <w:i/>
          <w:iCs/>
        </w:rPr>
      </w:pPr>
      <w:r w:rsidRPr="00BB6AA6">
        <w:rPr>
          <w:i/>
          <w:iCs/>
          <w:color w:val="FF0000"/>
        </w:rPr>
        <w:t>For CT/irradiator</w:t>
      </w:r>
    </w:p>
    <w:p w14:paraId="4C9519F5" w14:textId="77777777" w:rsidR="00A23CE1" w:rsidRPr="00BB6AA6" w:rsidRDefault="00A23CE1" w:rsidP="00A23CE1">
      <w:pPr>
        <w:jc w:val="both"/>
        <w:rPr>
          <w:color w:val="538135" w:themeColor="accent6" w:themeShade="BF"/>
        </w:rPr>
      </w:pPr>
      <w:r w:rsidRPr="00BB6AA6">
        <w:rPr>
          <w:color w:val="538135" w:themeColor="accent6" w:themeShade="BF"/>
        </w:rPr>
        <w:t xml:space="preserve">The laboratory detailed above is designated as </w:t>
      </w:r>
      <w:r w:rsidRPr="00BB6AA6">
        <w:rPr>
          <w:b/>
          <w:bCs/>
          <w:color w:val="538135" w:themeColor="accent6" w:themeShade="BF"/>
          <w:u w:val="single"/>
        </w:rPr>
        <w:t>Supervised Area</w:t>
      </w:r>
      <w:r w:rsidRPr="00BB6AA6">
        <w:rPr>
          <w:color w:val="538135" w:themeColor="accent6" w:themeShade="BF"/>
        </w:rPr>
        <w:t xml:space="preserve"> when the x-ray emitting device is switched ON. The area is defined by the structure of the room, including doors and windows.</w:t>
      </w:r>
    </w:p>
    <w:p w14:paraId="1DABF32E" w14:textId="240491AE" w:rsidR="00A23CE1" w:rsidRPr="00BB6AA6" w:rsidRDefault="00A23CE1" w:rsidP="00091994">
      <w:pPr>
        <w:jc w:val="both"/>
        <w:rPr>
          <w:color w:val="538135" w:themeColor="accent6" w:themeShade="BF"/>
        </w:rPr>
      </w:pPr>
      <w:r w:rsidRPr="00BB6AA6">
        <w:rPr>
          <w:color w:val="538135" w:themeColor="accent6" w:themeShade="BF"/>
        </w:rPr>
        <w:t>A warning sign should be placed at each entrance to the Supervised Area and the device shall only be used by authorized radiation users, who have gained permission through training.</w:t>
      </w:r>
    </w:p>
    <w:p w14:paraId="7D1E10D9" w14:textId="791ED0C9" w:rsidR="005B641A" w:rsidRDefault="005B641A" w:rsidP="009E27BF">
      <w:pPr>
        <w:pStyle w:val="Heading1"/>
        <w:rPr>
          <w:b w:val="0"/>
          <w:bCs/>
        </w:rPr>
      </w:pPr>
      <w:r>
        <w:rPr>
          <w:bCs/>
        </w:rPr>
        <w:t xml:space="preserve">Training </w:t>
      </w:r>
    </w:p>
    <w:p w14:paraId="73C5306F" w14:textId="77777777" w:rsidR="00BB6AA6" w:rsidRPr="00BB6AA6" w:rsidRDefault="00BB6AA6" w:rsidP="00BB6AA6">
      <w:pPr>
        <w:jc w:val="both"/>
        <w:rPr>
          <w:i/>
          <w:iCs/>
          <w:color w:val="FF0000"/>
        </w:rPr>
      </w:pPr>
      <w:r w:rsidRPr="00BB6AA6">
        <w:rPr>
          <w:i/>
          <w:iCs/>
          <w:color w:val="FF0000"/>
        </w:rPr>
        <w:t>For SEM/TEM, X-ray Analysis Equipment</w:t>
      </w:r>
    </w:p>
    <w:p w14:paraId="0C82D3BA" w14:textId="50745581" w:rsidR="00DC56F2" w:rsidRPr="00BB6AA6" w:rsidRDefault="005B641A" w:rsidP="00DC56F2">
      <w:pPr>
        <w:jc w:val="both"/>
        <w:rPr>
          <w:color w:val="2E74B5" w:themeColor="accent1" w:themeShade="BF"/>
        </w:rPr>
      </w:pPr>
      <w:r w:rsidRPr="00BB6AA6">
        <w:rPr>
          <w:color w:val="2E74B5" w:themeColor="accent1" w:themeShade="BF"/>
        </w:rPr>
        <w:t>It is the responsibility of supervisors and/or PI to ensure that their students, postgraduates, research scientists, etc</w:t>
      </w:r>
      <w:r w:rsidR="00B8705B" w:rsidRPr="00BB6AA6">
        <w:rPr>
          <w:color w:val="2E74B5" w:themeColor="accent1" w:themeShade="BF"/>
        </w:rPr>
        <w:t>.</w:t>
      </w:r>
      <w:r w:rsidRPr="00BB6AA6">
        <w:rPr>
          <w:color w:val="2E74B5" w:themeColor="accent1" w:themeShade="BF"/>
        </w:rPr>
        <w:t xml:space="preserve"> are adequately trained in the safe use of </w:t>
      </w:r>
      <w:r w:rsidR="00626DCC" w:rsidRPr="00BB6AA6">
        <w:rPr>
          <w:color w:val="2E74B5" w:themeColor="accent1" w:themeShade="BF"/>
        </w:rPr>
        <w:t xml:space="preserve">the </w:t>
      </w:r>
      <w:r w:rsidR="004A36FC" w:rsidRPr="00BB6AA6">
        <w:rPr>
          <w:color w:val="2E74B5" w:themeColor="accent1" w:themeShade="BF"/>
        </w:rPr>
        <w:t>radiation-producing equipment</w:t>
      </w:r>
      <w:r w:rsidRPr="00BB6AA6">
        <w:rPr>
          <w:color w:val="2E74B5" w:themeColor="accent1" w:themeShade="BF"/>
        </w:rPr>
        <w:t xml:space="preserve"> prior to the commencement of the work.</w:t>
      </w:r>
      <w:r w:rsidR="00961A1A" w:rsidRPr="00BB6AA6">
        <w:rPr>
          <w:color w:val="2E74B5" w:themeColor="accent1" w:themeShade="BF"/>
        </w:rPr>
        <w:t xml:space="preserve"> The</w:t>
      </w:r>
      <w:r w:rsidRPr="00BB6AA6">
        <w:rPr>
          <w:color w:val="2E74B5" w:themeColor="accent1" w:themeShade="BF"/>
        </w:rPr>
        <w:t xml:space="preserve"> appropriate safety training courses </w:t>
      </w:r>
      <w:r w:rsidR="00DC56F2" w:rsidRPr="00BB6AA6">
        <w:rPr>
          <w:color w:val="2E74B5" w:themeColor="accent1" w:themeShade="BF"/>
        </w:rPr>
        <w:t>are detailed in table 1.</w:t>
      </w:r>
    </w:p>
    <w:p w14:paraId="184A7C0A" w14:textId="77777777" w:rsidR="0085682C" w:rsidRPr="00BB6AA6" w:rsidRDefault="0085682C" w:rsidP="00DC56F2">
      <w:pPr>
        <w:jc w:val="both"/>
        <w:rPr>
          <w:color w:val="2E74B5" w:themeColor="accent1" w:themeShade="BF"/>
        </w:rPr>
      </w:pPr>
    </w:p>
    <w:p w14:paraId="5DB70232" w14:textId="276C9AFE" w:rsidR="004A36FC" w:rsidRPr="00BB6AA6" w:rsidRDefault="00DC56F2" w:rsidP="00DC56F2">
      <w:pPr>
        <w:spacing w:before="120"/>
        <w:jc w:val="both"/>
        <w:rPr>
          <w:color w:val="2E74B5" w:themeColor="accent1" w:themeShade="BF"/>
          <w:sz w:val="20"/>
          <w:szCs w:val="20"/>
        </w:rPr>
      </w:pPr>
      <w:r w:rsidRPr="00BB6AA6">
        <w:rPr>
          <w:b/>
          <w:bCs/>
          <w:color w:val="2E74B5" w:themeColor="accent1" w:themeShade="BF"/>
          <w:sz w:val="20"/>
          <w:szCs w:val="20"/>
        </w:rPr>
        <w:t>Table 1.</w:t>
      </w:r>
      <w:r w:rsidRPr="00BB6AA6">
        <w:rPr>
          <w:color w:val="2E74B5" w:themeColor="accent1" w:themeShade="BF"/>
          <w:sz w:val="20"/>
          <w:szCs w:val="20"/>
        </w:rPr>
        <w:t xml:space="preserve"> Safety training course for use of radiation-producing equipment</w:t>
      </w:r>
    </w:p>
    <w:tbl>
      <w:tblPr>
        <w:tblStyle w:val="TableGrid"/>
        <w:tblW w:w="0" w:type="auto"/>
        <w:tblLook w:val="04A0" w:firstRow="1" w:lastRow="0" w:firstColumn="1" w:lastColumn="0" w:noHBand="0" w:noVBand="1"/>
      </w:tblPr>
      <w:tblGrid>
        <w:gridCol w:w="3595"/>
        <w:gridCol w:w="5755"/>
      </w:tblGrid>
      <w:tr w:rsidR="00BB6AA6" w:rsidRPr="00BB6AA6" w14:paraId="0B7A551A" w14:textId="77777777" w:rsidTr="004A36FC">
        <w:tc>
          <w:tcPr>
            <w:tcW w:w="3595" w:type="dxa"/>
            <w:shd w:val="clear" w:color="auto" w:fill="D9D9D9" w:themeFill="background1" w:themeFillShade="D9"/>
          </w:tcPr>
          <w:p w14:paraId="364D1204" w14:textId="10D23340" w:rsidR="004A36FC" w:rsidRPr="00BB6AA6" w:rsidRDefault="004A36FC" w:rsidP="004A36FC">
            <w:pPr>
              <w:jc w:val="both"/>
              <w:rPr>
                <w:b/>
                <w:bCs/>
                <w:color w:val="2E74B5" w:themeColor="accent1" w:themeShade="BF"/>
              </w:rPr>
            </w:pPr>
            <w:r w:rsidRPr="00BB6AA6">
              <w:rPr>
                <w:b/>
                <w:bCs/>
                <w:color w:val="2E74B5" w:themeColor="accent1" w:themeShade="BF"/>
              </w:rPr>
              <w:t>Radiation-Producing Equipment used</w:t>
            </w:r>
          </w:p>
        </w:tc>
        <w:tc>
          <w:tcPr>
            <w:tcW w:w="5755" w:type="dxa"/>
            <w:shd w:val="clear" w:color="auto" w:fill="D9D9D9" w:themeFill="background1" w:themeFillShade="D9"/>
          </w:tcPr>
          <w:p w14:paraId="637B47B2" w14:textId="53B30A08" w:rsidR="004A36FC" w:rsidRPr="00BB6AA6" w:rsidRDefault="004A36FC" w:rsidP="004A36FC">
            <w:pPr>
              <w:jc w:val="center"/>
              <w:rPr>
                <w:b/>
                <w:bCs/>
                <w:color w:val="2E74B5" w:themeColor="accent1" w:themeShade="BF"/>
              </w:rPr>
            </w:pPr>
            <w:r w:rsidRPr="00BB6AA6">
              <w:rPr>
                <w:b/>
                <w:bCs/>
                <w:color w:val="2E74B5" w:themeColor="accent1" w:themeShade="BF"/>
              </w:rPr>
              <w:t>Training required</w:t>
            </w:r>
          </w:p>
        </w:tc>
      </w:tr>
      <w:tr w:rsidR="00BB6AA6" w:rsidRPr="00BB6AA6" w14:paraId="7CC70198" w14:textId="77777777" w:rsidTr="004A36FC">
        <w:tc>
          <w:tcPr>
            <w:tcW w:w="3595" w:type="dxa"/>
          </w:tcPr>
          <w:p w14:paraId="6F1F8D53" w14:textId="5D5CF249" w:rsidR="004A36FC" w:rsidRPr="00BB6AA6" w:rsidRDefault="004A36FC" w:rsidP="004A36FC">
            <w:pPr>
              <w:rPr>
                <w:color w:val="2E74B5" w:themeColor="accent1" w:themeShade="BF"/>
              </w:rPr>
            </w:pPr>
            <w:r w:rsidRPr="00BB6AA6">
              <w:rPr>
                <w:color w:val="2E74B5" w:themeColor="accent1" w:themeShade="BF"/>
              </w:rPr>
              <w:t>Electron microscopes</w:t>
            </w:r>
          </w:p>
        </w:tc>
        <w:tc>
          <w:tcPr>
            <w:tcW w:w="5755" w:type="dxa"/>
          </w:tcPr>
          <w:p w14:paraId="1D9F9DC7" w14:textId="6BA82557" w:rsidR="004A36FC" w:rsidRPr="00BB6AA6" w:rsidRDefault="004A36FC" w:rsidP="00040177">
            <w:pPr>
              <w:pStyle w:val="ListParagraph"/>
              <w:numPr>
                <w:ilvl w:val="0"/>
                <w:numId w:val="5"/>
              </w:numPr>
              <w:rPr>
                <w:color w:val="2E74B5" w:themeColor="accent1" w:themeShade="BF"/>
              </w:rPr>
            </w:pPr>
            <w:r w:rsidRPr="00BB6AA6">
              <w:rPr>
                <w:color w:val="2E74B5" w:themeColor="accent1" w:themeShade="BF"/>
              </w:rPr>
              <w:t>HSE-150 SEM/TEM Training</w:t>
            </w:r>
          </w:p>
          <w:p w14:paraId="76DFA4ED" w14:textId="59449197" w:rsidR="004A36FC" w:rsidRPr="00BB6AA6" w:rsidRDefault="004A36FC" w:rsidP="004A36FC">
            <w:pPr>
              <w:pStyle w:val="ListParagraph"/>
              <w:numPr>
                <w:ilvl w:val="0"/>
                <w:numId w:val="5"/>
              </w:numPr>
              <w:spacing w:after="120"/>
              <w:rPr>
                <w:color w:val="2E74B5" w:themeColor="accent1" w:themeShade="BF"/>
              </w:rPr>
            </w:pPr>
            <w:r w:rsidRPr="00BB6AA6">
              <w:rPr>
                <w:color w:val="2E74B5" w:themeColor="accent1" w:themeShade="BF"/>
              </w:rPr>
              <w:t>Practical operation training for the radiation-producing equipment</w:t>
            </w:r>
          </w:p>
        </w:tc>
      </w:tr>
      <w:tr w:rsidR="00BB6AA6" w:rsidRPr="00BB6AA6" w14:paraId="17B08185" w14:textId="77777777" w:rsidTr="004A36FC">
        <w:tc>
          <w:tcPr>
            <w:tcW w:w="3595" w:type="dxa"/>
          </w:tcPr>
          <w:p w14:paraId="79951AD4" w14:textId="4BDBFE1C" w:rsidR="004A36FC" w:rsidRPr="00BB6AA6" w:rsidRDefault="004A36FC" w:rsidP="004A36FC">
            <w:pPr>
              <w:rPr>
                <w:color w:val="2E74B5" w:themeColor="accent1" w:themeShade="BF"/>
              </w:rPr>
            </w:pPr>
            <w:r w:rsidRPr="00BB6AA6">
              <w:rPr>
                <w:color w:val="2E74B5" w:themeColor="accent1" w:themeShade="BF"/>
              </w:rPr>
              <w:t>X-ray analysis equipment (e.g. x-ray diffraction, x-ray photoelectron spectroscopy, etc.)</w:t>
            </w:r>
          </w:p>
        </w:tc>
        <w:tc>
          <w:tcPr>
            <w:tcW w:w="5755" w:type="dxa"/>
          </w:tcPr>
          <w:p w14:paraId="5C451A34" w14:textId="77777777" w:rsidR="004A36FC" w:rsidRPr="00BB6AA6" w:rsidRDefault="004A36FC" w:rsidP="004A36FC">
            <w:pPr>
              <w:pStyle w:val="ListParagraph"/>
              <w:numPr>
                <w:ilvl w:val="0"/>
                <w:numId w:val="5"/>
              </w:numPr>
              <w:rPr>
                <w:color w:val="2E74B5" w:themeColor="accent1" w:themeShade="BF"/>
              </w:rPr>
            </w:pPr>
            <w:r w:rsidRPr="00BB6AA6">
              <w:rPr>
                <w:color w:val="2E74B5" w:themeColor="accent1" w:themeShade="BF"/>
              </w:rPr>
              <w:t>HSE-151 X-ray Analysis Equipment Safety Training</w:t>
            </w:r>
          </w:p>
          <w:p w14:paraId="0D33CF9D" w14:textId="1543E569" w:rsidR="004A36FC" w:rsidRPr="00BB6AA6" w:rsidRDefault="004A36FC" w:rsidP="004A36FC">
            <w:pPr>
              <w:pStyle w:val="ListParagraph"/>
              <w:numPr>
                <w:ilvl w:val="0"/>
                <w:numId w:val="5"/>
              </w:numPr>
              <w:spacing w:after="120"/>
              <w:rPr>
                <w:color w:val="2E74B5" w:themeColor="accent1" w:themeShade="BF"/>
              </w:rPr>
            </w:pPr>
            <w:r w:rsidRPr="00BB6AA6">
              <w:rPr>
                <w:color w:val="2E74B5" w:themeColor="accent1" w:themeShade="BF"/>
              </w:rPr>
              <w:t>Practical operation training for the radiation-producing equipment</w:t>
            </w:r>
          </w:p>
        </w:tc>
      </w:tr>
    </w:tbl>
    <w:p w14:paraId="50DC13BA" w14:textId="77777777" w:rsidR="004A36FC" w:rsidRDefault="004A36FC" w:rsidP="004A36FC">
      <w:pPr>
        <w:jc w:val="both"/>
      </w:pPr>
    </w:p>
    <w:p w14:paraId="0357A831" w14:textId="77777777" w:rsidR="00BB6AA6" w:rsidRPr="00BB6AA6" w:rsidRDefault="00BB6AA6" w:rsidP="00BB6AA6">
      <w:pPr>
        <w:jc w:val="both"/>
        <w:rPr>
          <w:i/>
          <w:iCs/>
        </w:rPr>
      </w:pPr>
      <w:r w:rsidRPr="00BB6AA6">
        <w:rPr>
          <w:i/>
          <w:iCs/>
          <w:color w:val="FF0000"/>
        </w:rPr>
        <w:t>For CT/irradiator</w:t>
      </w:r>
    </w:p>
    <w:p w14:paraId="5C1CFE11" w14:textId="6EAAA15F" w:rsidR="00BB6AA6" w:rsidRPr="00BB6AA6" w:rsidRDefault="00BB6AA6" w:rsidP="00BB6AA6">
      <w:pPr>
        <w:jc w:val="both"/>
        <w:rPr>
          <w:color w:val="538135" w:themeColor="accent6" w:themeShade="BF"/>
        </w:rPr>
      </w:pPr>
      <w:r w:rsidRPr="00BB6AA6">
        <w:rPr>
          <w:color w:val="538135" w:themeColor="accent6" w:themeShade="BF"/>
        </w:rPr>
        <w:t xml:space="preserve">It is the responsibility of supervisors and/or PI to ensure that their students, postgraduates, research scientists, etc. are adequately trained in the safe use of the </w:t>
      </w:r>
      <w:r>
        <w:rPr>
          <w:color w:val="538135" w:themeColor="accent6" w:themeShade="BF"/>
        </w:rPr>
        <w:t>equipment</w:t>
      </w:r>
      <w:r w:rsidRPr="00BB6AA6">
        <w:rPr>
          <w:color w:val="538135" w:themeColor="accent6" w:themeShade="BF"/>
        </w:rPr>
        <w:t xml:space="preserve"> prior to the commencement of the work. The appropriate safety training courses consist of:</w:t>
      </w:r>
    </w:p>
    <w:p w14:paraId="5F4BBB39" w14:textId="77777777" w:rsidR="00BB6AA6" w:rsidRPr="00BB6AA6" w:rsidRDefault="00BB6AA6" w:rsidP="00BB6AA6">
      <w:pPr>
        <w:pStyle w:val="ListParagraph"/>
        <w:numPr>
          <w:ilvl w:val="0"/>
          <w:numId w:val="5"/>
        </w:numPr>
        <w:rPr>
          <w:color w:val="538135" w:themeColor="accent6" w:themeShade="BF"/>
        </w:rPr>
      </w:pPr>
      <w:r w:rsidRPr="00BB6AA6">
        <w:rPr>
          <w:color w:val="538135" w:themeColor="accent6" w:themeShade="BF"/>
        </w:rPr>
        <w:t>HSE-151 X-ray Analysis Equipment Safety Training</w:t>
      </w:r>
    </w:p>
    <w:p w14:paraId="775A6CDE" w14:textId="4800D959" w:rsidR="00BB6AA6" w:rsidRPr="00BB6AA6" w:rsidRDefault="00BB6AA6" w:rsidP="00BB6AA6">
      <w:pPr>
        <w:pStyle w:val="ListParagraph"/>
        <w:numPr>
          <w:ilvl w:val="0"/>
          <w:numId w:val="5"/>
        </w:numPr>
        <w:rPr>
          <w:color w:val="538135" w:themeColor="accent6" w:themeShade="BF"/>
        </w:rPr>
      </w:pPr>
      <w:r w:rsidRPr="00BB6AA6">
        <w:rPr>
          <w:color w:val="538135" w:themeColor="accent6" w:themeShade="BF"/>
        </w:rPr>
        <w:t xml:space="preserve">Practical operation training for </w:t>
      </w:r>
      <w:r>
        <w:rPr>
          <w:color w:val="538135" w:themeColor="accent6" w:themeShade="BF"/>
        </w:rPr>
        <w:t>(describe equipment)</w:t>
      </w:r>
    </w:p>
    <w:p w14:paraId="13C6916D" w14:textId="77777777" w:rsidR="00BB6AA6" w:rsidRDefault="00BB6AA6" w:rsidP="004A36FC">
      <w:pPr>
        <w:jc w:val="both"/>
      </w:pPr>
    </w:p>
    <w:p w14:paraId="75EB58F8" w14:textId="7C854865" w:rsidR="002E015B" w:rsidRDefault="00807168" w:rsidP="0085682C">
      <w:pPr>
        <w:jc w:val="both"/>
      </w:pPr>
      <w:r>
        <w:t>U</w:t>
      </w:r>
      <w:r w:rsidR="007A1FC0">
        <w:t>pon completion of these training</w:t>
      </w:r>
      <w:r>
        <w:t>s</w:t>
      </w:r>
      <w:r w:rsidR="007A1FC0">
        <w:t xml:space="preserve">, and acceptable score on the written examinations, users can ask their PI or </w:t>
      </w:r>
      <w:r w:rsidR="002F6E11">
        <w:t>LSR</w:t>
      </w:r>
      <w:r w:rsidR="007A1FC0">
        <w:t xml:space="preserve"> to add them on the authorized users list.</w:t>
      </w:r>
      <w:r>
        <w:t xml:space="preserve"> Note that for Core Lab and few other labs, authorized users will be added to the Badger System.</w:t>
      </w:r>
      <w:r w:rsidR="007A1FC0">
        <w:t xml:space="preserve"> </w:t>
      </w:r>
    </w:p>
    <w:p w14:paraId="084278BE" w14:textId="12078B33" w:rsidR="005B641A" w:rsidRDefault="00807168" w:rsidP="00091994">
      <w:pPr>
        <w:spacing w:before="120"/>
        <w:jc w:val="both"/>
      </w:pPr>
      <w:r>
        <w:t>T</w:t>
      </w:r>
      <w:r w:rsidR="005B641A">
        <w:t xml:space="preserve">raining can </w:t>
      </w:r>
      <w:r w:rsidR="00091994">
        <w:t xml:space="preserve">be taken </w:t>
      </w:r>
      <w:hyperlink r:id="rId16" w:history="1">
        <w:r w:rsidR="00091994" w:rsidRPr="00091994">
          <w:rPr>
            <w:rStyle w:val="Hyperlink"/>
          </w:rPr>
          <w:t>online</w:t>
        </w:r>
      </w:hyperlink>
      <w:r w:rsidR="00091994">
        <w:t xml:space="preserve"> or </w:t>
      </w:r>
      <w:r w:rsidR="005B641A">
        <w:t xml:space="preserve">arranged </w:t>
      </w:r>
      <w:r w:rsidR="00485CB7">
        <w:t>on demand with</w:t>
      </w:r>
      <w:r w:rsidR="005B641A">
        <w:t xml:space="preserve"> the Research Safety Team</w:t>
      </w:r>
      <w:r w:rsidR="00485CB7">
        <w:t xml:space="preserve"> (</w:t>
      </w:r>
      <w:hyperlink r:id="rId17" w:history="1">
        <w:r w:rsidR="00626DCC" w:rsidRPr="009A07E7">
          <w:rPr>
            <w:rStyle w:val="Hyperlink"/>
          </w:rPr>
          <w:t>researchsafety@kaust.edu.sa</w:t>
        </w:r>
      </w:hyperlink>
      <w:r w:rsidR="008E6E15">
        <w:t>)</w:t>
      </w:r>
      <w:r w:rsidR="005B641A">
        <w:t>.</w:t>
      </w:r>
    </w:p>
    <w:p w14:paraId="49FDB870" w14:textId="6B3B0030" w:rsidR="00D35C81" w:rsidRPr="00D35C81" w:rsidRDefault="00D35C81" w:rsidP="00D35C81">
      <w:pPr>
        <w:pStyle w:val="Heading1"/>
        <w:rPr>
          <w:b w:val="0"/>
          <w:bCs/>
        </w:rPr>
      </w:pPr>
      <w:r w:rsidRPr="00D35C81">
        <w:rPr>
          <w:bCs/>
        </w:rPr>
        <w:lastRenderedPageBreak/>
        <w:t>Personnel Monitoring</w:t>
      </w:r>
    </w:p>
    <w:p w14:paraId="0A877857" w14:textId="643C5BFE" w:rsidR="00001B88" w:rsidRDefault="00961A1A" w:rsidP="00A7719D">
      <w:pPr>
        <w:pStyle w:val="Heading2"/>
      </w:pPr>
      <w:r>
        <w:rPr>
          <w:b/>
          <w:bCs/>
          <w:color w:val="auto"/>
        </w:rPr>
        <w:t xml:space="preserve">Staff Designation and </w:t>
      </w:r>
      <w:r w:rsidR="00A7719D">
        <w:rPr>
          <w:b/>
          <w:bCs/>
          <w:color w:val="auto"/>
        </w:rPr>
        <w:t>D</w:t>
      </w:r>
      <w:r w:rsidR="00001B88" w:rsidRPr="00D634AB">
        <w:rPr>
          <w:b/>
          <w:bCs/>
          <w:color w:val="auto"/>
        </w:rPr>
        <w:t>ose</w:t>
      </w:r>
      <w:r w:rsidR="00001B88">
        <w:t xml:space="preserve"> </w:t>
      </w:r>
      <w:r w:rsidR="00001B88" w:rsidRPr="00D634AB">
        <w:rPr>
          <w:b/>
          <w:bCs/>
          <w:color w:val="auto"/>
        </w:rPr>
        <w:t>Limits</w:t>
      </w:r>
    </w:p>
    <w:p w14:paraId="54F2A9CA" w14:textId="77777777" w:rsidR="00BB6AA6" w:rsidRPr="00BB6AA6" w:rsidRDefault="00BB6AA6" w:rsidP="00BB6AA6">
      <w:pPr>
        <w:jc w:val="both"/>
        <w:rPr>
          <w:i/>
          <w:iCs/>
          <w:color w:val="FF0000"/>
        </w:rPr>
      </w:pPr>
      <w:r w:rsidRPr="00BB6AA6">
        <w:rPr>
          <w:i/>
          <w:iCs/>
          <w:color w:val="FF0000"/>
        </w:rPr>
        <w:t>For SEM/TEM, X-ray Analysis Equipment</w:t>
      </w:r>
    </w:p>
    <w:p w14:paraId="748190BD" w14:textId="5F510E36" w:rsidR="00961A1A" w:rsidRPr="00BB6AA6" w:rsidRDefault="00961A1A" w:rsidP="00BB6AA6">
      <w:pPr>
        <w:spacing w:after="120"/>
        <w:jc w:val="both"/>
        <w:rPr>
          <w:color w:val="2E74B5" w:themeColor="accent1" w:themeShade="BF"/>
        </w:rPr>
      </w:pPr>
      <w:r w:rsidRPr="00BB6AA6">
        <w:rPr>
          <w:color w:val="2E74B5" w:themeColor="accent1" w:themeShade="BF"/>
        </w:rPr>
        <w:t xml:space="preserve">All users of the </w:t>
      </w:r>
      <w:r w:rsidR="002E015B" w:rsidRPr="00BB6AA6">
        <w:rPr>
          <w:color w:val="2E74B5" w:themeColor="accent1" w:themeShade="BF"/>
        </w:rPr>
        <w:t>radiation-producing equipment which have an enclosed and shielded x-ray beam</w:t>
      </w:r>
      <w:r w:rsidRPr="00BB6AA6">
        <w:rPr>
          <w:color w:val="2E74B5" w:themeColor="accent1" w:themeShade="BF"/>
        </w:rPr>
        <w:t xml:space="preserve"> are regarded as </w:t>
      </w:r>
      <w:r w:rsidRPr="00BB6AA6">
        <w:rPr>
          <w:color w:val="2E74B5" w:themeColor="accent1" w:themeShade="BF"/>
          <w:u w:val="single"/>
        </w:rPr>
        <w:t>non-</w:t>
      </w:r>
      <w:r w:rsidR="00BB6AA6">
        <w:rPr>
          <w:color w:val="2E74B5" w:themeColor="accent1" w:themeShade="BF"/>
          <w:u w:val="single"/>
        </w:rPr>
        <w:t>classified</w:t>
      </w:r>
      <w:r w:rsidRPr="00BB6AA6">
        <w:rPr>
          <w:color w:val="2E74B5" w:themeColor="accent1" w:themeShade="BF"/>
          <w:u w:val="single"/>
        </w:rPr>
        <w:t xml:space="preserve"> workers</w:t>
      </w:r>
      <w:r w:rsidRPr="00BB6AA6">
        <w:rPr>
          <w:color w:val="2E74B5" w:themeColor="accent1" w:themeShade="BF"/>
        </w:rPr>
        <w:t xml:space="preserve">; i.e. the general public dose limits and accepted dose limits apply to them. The article </w:t>
      </w:r>
      <w:r w:rsidR="00985EAD" w:rsidRPr="00BB6AA6">
        <w:rPr>
          <w:color w:val="2E74B5" w:themeColor="accent1" w:themeShade="BF"/>
        </w:rPr>
        <w:t>(</w:t>
      </w:r>
      <w:r w:rsidRPr="00BB6AA6">
        <w:rPr>
          <w:color w:val="2E74B5" w:themeColor="accent1" w:themeShade="BF"/>
        </w:rPr>
        <w:t>80</w:t>
      </w:r>
      <w:r w:rsidR="00985EAD" w:rsidRPr="00BB6AA6">
        <w:rPr>
          <w:color w:val="2E74B5" w:themeColor="accent1" w:themeShade="BF"/>
        </w:rPr>
        <w:t>)</w:t>
      </w:r>
      <w:r w:rsidRPr="00BB6AA6">
        <w:rPr>
          <w:color w:val="2E74B5" w:themeColor="accent1" w:themeShade="BF"/>
        </w:rPr>
        <w:t xml:space="preserve"> of the </w:t>
      </w:r>
      <w:r w:rsidR="00985EAD" w:rsidRPr="00BB6AA6">
        <w:rPr>
          <w:color w:val="2E74B5" w:themeColor="accent1" w:themeShade="BF"/>
        </w:rPr>
        <w:t xml:space="preserve">general </w:t>
      </w:r>
      <w:r w:rsidRPr="00BB6AA6">
        <w:rPr>
          <w:color w:val="2E74B5" w:themeColor="accent1" w:themeShade="BF"/>
        </w:rPr>
        <w:t xml:space="preserve">regulations states the annual dose limits for members of the public. A summary of these limits is shown in </w:t>
      </w:r>
      <w:r w:rsidR="00DC56F2" w:rsidRPr="00BB6AA6">
        <w:rPr>
          <w:color w:val="2E74B5" w:themeColor="accent1" w:themeShade="BF"/>
        </w:rPr>
        <w:t>Table 2.</w:t>
      </w:r>
    </w:p>
    <w:p w14:paraId="63A53254" w14:textId="066D8485" w:rsidR="00226E68" w:rsidRPr="00BB6AA6" w:rsidRDefault="00DC56F2" w:rsidP="009C4C47">
      <w:pPr>
        <w:spacing w:line="240" w:lineRule="auto"/>
        <w:jc w:val="both"/>
        <w:rPr>
          <w:color w:val="2E74B5" w:themeColor="accent1" w:themeShade="BF"/>
          <w:sz w:val="20"/>
          <w:szCs w:val="20"/>
        </w:rPr>
      </w:pPr>
      <w:r w:rsidRPr="00BB6AA6">
        <w:rPr>
          <w:b/>
          <w:bCs/>
          <w:color w:val="2E74B5" w:themeColor="accent1" w:themeShade="BF"/>
          <w:sz w:val="20"/>
          <w:szCs w:val="20"/>
        </w:rPr>
        <w:t>Table 2.</w:t>
      </w:r>
      <w:r w:rsidRPr="00BB6AA6">
        <w:rPr>
          <w:color w:val="2E74B5" w:themeColor="accent1" w:themeShade="BF"/>
          <w:sz w:val="20"/>
          <w:szCs w:val="20"/>
        </w:rPr>
        <w:t xml:space="preserve"> Non-</w:t>
      </w:r>
      <w:r w:rsidR="009C4C47">
        <w:rPr>
          <w:color w:val="2E74B5" w:themeColor="accent1" w:themeShade="BF"/>
          <w:sz w:val="20"/>
          <w:szCs w:val="20"/>
        </w:rPr>
        <w:t>classified</w:t>
      </w:r>
      <w:r w:rsidRPr="00BB6AA6">
        <w:rPr>
          <w:color w:val="2E74B5" w:themeColor="accent1" w:themeShade="BF"/>
          <w:sz w:val="20"/>
          <w:szCs w:val="20"/>
        </w:rPr>
        <w:t xml:space="preserve"> workers radiation dose limits set by K.A.CARE and accepted dose levels set at KAUST.</w:t>
      </w:r>
    </w:p>
    <w:tbl>
      <w:tblPr>
        <w:tblStyle w:val="TableGrid"/>
        <w:tblW w:w="0" w:type="auto"/>
        <w:jc w:val="center"/>
        <w:tblCellMar>
          <w:left w:w="58" w:type="dxa"/>
          <w:right w:w="58" w:type="dxa"/>
        </w:tblCellMar>
        <w:tblLook w:val="04A0" w:firstRow="1" w:lastRow="0" w:firstColumn="1" w:lastColumn="0" w:noHBand="0" w:noVBand="1"/>
      </w:tblPr>
      <w:tblGrid>
        <w:gridCol w:w="1525"/>
        <w:gridCol w:w="3285"/>
        <w:gridCol w:w="3285"/>
      </w:tblGrid>
      <w:tr w:rsidR="00BB6AA6" w:rsidRPr="00BB6AA6" w14:paraId="1B9B98BE" w14:textId="77777777" w:rsidTr="00A27F3F">
        <w:trPr>
          <w:trHeight w:val="720"/>
          <w:jc w:val="center"/>
        </w:trPr>
        <w:tc>
          <w:tcPr>
            <w:tcW w:w="1525" w:type="dxa"/>
            <w:shd w:val="clear" w:color="auto" w:fill="D9D9D9" w:themeFill="background1" w:themeFillShade="D9"/>
            <w:vAlign w:val="center"/>
          </w:tcPr>
          <w:p w14:paraId="299AA3FD" w14:textId="77777777" w:rsidR="00961A1A" w:rsidRPr="00BB6AA6" w:rsidRDefault="00961A1A" w:rsidP="00A27F3F">
            <w:pPr>
              <w:jc w:val="center"/>
              <w:rPr>
                <w:b/>
                <w:bCs/>
                <w:color w:val="2E74B5" w:themeColor="accent1" w:themeShade="BF"/>
              </w:rPr>
            </w:pPr>
          </w:p>
        </w:tc>
        <w:tc>
          <w:tcPr>
            <w:tcW w:w="3285" w:type="dxa"/>
            <w:shd w:val="clear" w:color="auto" w:fill="D9D9D9" w:themeFill="background1" w:themeFillShade="D9"/>
            <w:vAlign w:val="center"/>
          </w:tcPr>
          <w:p w14:paraId="2C91E82B" w14:textId="77777777" w:rsidR="00961A1A" w:rsidRPr="00BB6AA6" w:rsidRDefault="00961A1A" w:rsidP="00A27F3F">
            <w:pPr>
              <w:jc w:val="center"/>
              <w:rPr>
                <w:b/>
                <w:bCs/>
                <w:color w:val="2E74B5" w:themeColor="accent1" w:themeShade="BF"/>
              </w:rPr>
            </w:pPr>
            <w:r w:rsidRPr="00BB6AA6">
              <w:rPr>
                <w:b/>
                <w:bCs/>
                <w:color w:val="2E74B5" w:themeColor="accent1" w:themeShade="BF"/>
              </w:rPr>
              <w:t>Non-Occupational worker and General Public</w:t>
            </w:r>
          </w:p>
        </w:tc>
        <w:tc>
          <w:tcPr>
            <w:tcW w:w="3285" w:type="dxa"/>
            <w:shd w:val="clear" w:color="auto" w:fill="D9D9D9" w:themeFill="background1" w:themeFillShade="D9"/>
            <w:vAlign w:val="center"/>
          </w:tcPr>
          <w:p w14:paraId="7484897E" w14:textId="77777777" w:rsidR="00961A1A" w:rsidRPr="00BB6AA6" w:rsidRDefault="00961A1A" w:rsidP="00A27F3F">
            <w:pPr>
              <w:jc w:val="center"/>
              <w:rPr>
                <w:b/>
                <w:bCs/>
                <w:color w:val="2E74B5" w:themeColor="accent1" w:themeShade="BF"/>
              </w:rPr>
            </w:pPr>
            <w:r w:rsidRPr="00BB6AA6">
              <w:rPr>
                <w:b/>
                <w:bCs/>
                <w:color w:val="2E74B5" w:themeColor="accent1" w:themeShade="BF"/>
              </w:rPr>
              <w:t>Non-occupational exposure accepted level set at KAUST</w:t>
            </w:r>
          </w:p>
        </w:tc>
      </w:tr>
      <w:tr w:rsidR="00BB6AA6" w:rsidRPr="00BB6AA6" w14:paraId="2EC2AEE5" w14:textId="77777777" w:rsidTr="00A27F3F">
        <w:trPr>
          <w:trHeight w:val="432"/>
          <w:jc w:val="center"/>
        </w:trPr>
        <w:tc>
          <w:tcPr>
            <w:tcW w:w="1525" w:type="dxa"/>
            <w:shd w:val="clear" w:color="auto" w:fill="D9D9D9" w:themeFill="background1" w:themeFillShade="D9"/>
            <w:vAlign w:val="center"/>
          </w:tcPr>
          <w:p w14:paraId="3B3F6F24" w14:textId="77777777" w:rsidR="00961A1A" w:rsidRPr="00BB6AA6" w:rsidRDefault="00961A1A" w:rsidP="00A27F3F">
            <w:pPr>
              <w:jc w:val="center"/>
              <w:rPr>
                <w:b/>
                <w:bCs/>
                <w:color w:val="2E74B5" w:themeColor="accent1" w:themeShade="BF"/>
              </w:rPr>
            </w:pPr>
            <w:r w:rsidRPr="00BB6AA6">
              <w:rPr>
                <w:b/>
                <w:bCs/>
                <w:color w:val="2E74B5" w:themeColor="accent1" w:themeShade="BF"/>
              </w:rPr>
              <w:t>Whole Body</w:t>
            </w:r>
          </w:p>
        </w:tc>
        <w:tc>
          <w:tcPr>
            <w:tcW w:w="3285" w:type="dxa"/>
            <w:vAlign w:val="center"/>
          </w:tcPr>
          <w:p w14:paraId="0B9781D0" w14:textId="77777777" w:rsidR="00961A1A" w:rsidRPr="00BB6AA6" w:rsidRDefault="00961A1A" w:rsidP="00A27F3F">
            <w:pPr>
              <w:jc w:val="center"/>
              <w:rPr>
                <w:color w:val="2E74B5" w:themeColor="accent1" w:themeShade="BF"/>
              </w:rPr>
            </w:pPr>
            <w:r w:rsidRPr="00BB6AA6">
              <w:rPr>
                <w:color w:val="2E74B5" w:themeColor="accent1" w:themeShade="BF"/>
              </w:rPr>
              <w:t>1 mSv/year</w:t>
            </w:r>
          </w:p>
        </w:tc>
        <w:tc>
          <w:tcPr>
            <w:tcW w:w="3285" w:type="dxa"/>
            <w:vAlign w:val="center"/>
          </w:tcPr>
          <w:p w14:paraId="4E5BB1D9" w14:textId="77777777" w:rsidR="00961A1A" w:rsidRPr="00BB6AA6" w:rsidRDefault="00961A1A" w:rsidP="00A27F3F">
            <w:pPr>
              <w:jc w:val="center"/>
              <w:rPr>
                <w:color w:val="2E74B5" w:themeColor="accent1" w:themeShade="BF"/>
              </w:rPr>
            </w:pPr>
            <w:r w:rsidRPr="00BB6AA6">
              <w:rPr>
                <w:color w:val="2E74B5" w:themeColor="accent1" w:themeShade="BF"/>
              </w:rPr>
              <w:t>1 mSv/year</w:t>
            </w:r>
          </w:p>
        </w:tc>
      </w:tr>
      <w:tr w:rsidR="00BB6AA6" w:rsidRPr="00BB6AA6" w14:paraId="28D8D6FD" w14:textId="77777777" w:rsidTr="00A27F3F">
        <w:trPr>
          <w:trHeight w:val="432"/>
          <w:jc w:val="center"/>
        </w:trPr>
        <w:tc>
          <w:tcPr>
            <w:tcW w:w="1525" w:type="dxa"/>
            <w:shd w:val="clear" w:color="auto" w:fill="D9D9D9" w:themeFill="background1" w:themeFillShade="D9"/>
            <w:vAlign w:val="center"/>
          </w:tcPr>
          <w:p w14:paraId="7DBC5197" w14:textId="77777777" w:rsidR="00961A1A" w:rsidRPr="00BB6AA6" w:rsidRDefault="00961A1A" w:rsidP="00A27F3F">
            <w:pPr>
              <w:jc w:val="center"/>
              <w:rPr>
                <w:b/>
                <w:bCs/>
                <w:color w:val="2E74B5" w:themeColor="accent1" w:themeShade="BF"/>
              </w:rPr>
            </w:pPr>
            <w:r w:rsidRPr="00BB6AA6">
              <w:rPr>
                <w:b/>
                <w:bCs/>
                <w:color w:val="2E74B5" w:themeColor="accent1" w:themeShade="BF"/>
              </w:rPr>
              <w:t>Lens of the eye</w:t>
            </w:r>
          </w:p>
        </w:tc>
        <w:tc>
          <w:tcPr>
            <w:tcW w:w="3285" w:type="dxa"/>
            <w:vAlign w:val="center"/>
          </w:tcPr>
          <w:p w14:paraId="3C931C38" w14:textId="77777777" w:rsidR="00961A1A" w:rsidRPr="00BB6AA6" w:rsidRDefault="00961A1A" w:rsidP="00A27F3F">
            <w:pPr>
              <w:jc w:val="center"/>
              <w:rPr>
                <w:color w:val="2E74B5" w:themeColor="accent1" w:themeShade="BF"/>
              </w:rPr>
            </w:pPr>
            <w:r w:rsidRPr="00BB6AA6">
              <w:rPr>
                <w:color w:val="2E74B5" w:themeColor="accent1" w:themeShade="BF"/>
              </w:rPr>
              <w:t>15 mSv/year</w:t>
            </w:r>
          </w:p>
        </w:tc>
        <w:tc>
          <w:tcPr>
            <w:tcW w:w="3285" w:type="dxa"/>
            <w:vAlign w:val="center"/>
          </w:tcPr>
          <w:p w14:paraId="72AE6EAD" w14:textId="77777777" w:rsidR="00961A1A" w:rsidRPr="00BB6AA6" w:rsidRDefault="00961A1A" w:rsidP="00A27F3F">
            <w:pPr>
              <w:jc w:val="center"/>
              <w:rPr>
                <w:color w:val="2E74B5" w:themeColor="accent1" w:themeShade="BF"/>
              </w:rPr>
            </w:pPr>
            <w:r w:rsidRPr="00BB6AA6">
              <w:rPr>
                <w:color w:val="2E74B5" w:themeColor="accent1" w:themeShade="BF"/>
              </w:rPr>
              <w:t>15 mSv/year</w:t>
            </w:r>
          </w:p>
        </w:tc>
      </w:tr>
      <w:tr w:rsidR="00BB6AA6" w:rsidRPr="00BB6AA6" w14:paraId="3851154F" w14:textId="77777777" w:rsidTr="00A27F3F">
        <w:trPr>
          <w:trHeight w:val="432"/>
          <w:jc w:val="center"/>
        </w:trPr>
        <w:tc>
          <w:tcPr>
            <w:tcW w:w="1525" w:type="dxa"/>
            <w:shd w:val="clear" w:color="auto" w:fill="D9D9D9" w:themeFill="background1" w:themeFillShade="D9"/>
            <w:vAlign w:val="center"/>
          </w:tcPr>
          <w:p w14:paraId="21BC705E" w14:textId="77777777" w:rsidR="00961A1A" w:rsidRPr="00BB6AA6" w:rsidRDefault="00961A1A" w:rsidP="00A27F3F">
            <w:pPr>
              <w:jc w:val="center"/>
              <w:rPr>
                <w:b/>
                <w:bCs/>
                <w:color w:val="2E74B5" w:themeColor="accent1" w:themeShade="BF"/>
              </w:rPr>
            </w:pPr>
            <w:r w:rsidRPr="00BB6AA6">
              <w:rPr>
                <w:b/>
                <w:bCs/>
                <w:color w:val="2E74B5" w:themeColor="accent1" w:themeShade="BF"/>
              </w:rPr>
              <w:t>Extremities</w:t>
            </w:r>
          </w:p>
        </w:tc>
        <w:tc>
          <w:tcPr>
            <w:tcW w:w="3285" w:type="dxa"/>
            <w:vAlign w:val="center"/>
          </w:tcPr>
          <w:p w14:paraId="552F926D" w14:textId="77777777" w:rsidR="00961A1A" w:rsidRPr="00BB6AA6" w:rsidRDefault="00961A1A" w:rsidP="00A27F3F">
            <w:pPr>
              <w:jc w:val="center"/>
              <w:rPr>
                <w:color w:val="2E74B5" w:themeColor="accent1" w:themeShade="BF"/>
              </w:rPr>
            </w:pPr>
            <w:r w:rsidRPr="00BB6AA6">
              <w:rPr>
                <w:color w:val="2E74B5" w:themeColor="accent1" w:themeShade="BF"/>
              </w:rPr>
              <w:t>50 mSv/year</w:t>
            </w:r>
          </w:p>
        </w:tc>
        <w:tc>
          <w:tcPr>
            <w:tcW w:w="3285" w:type="dxa"/>
            <w:vAlign w:val="center"/>
          </w:tcPr>
          <w:p w14:paraId="1D1135FE" w14:textId="77777777" w:rsidR="00961A1A" w:rsidRPr="00BB6AA6" w:rsidRDefault="00961A1A" w:rsidP="00A27F3F">
            <w:pPr>
              <w:jc w:val="center"/>
              <w:rPr>
                <w:color w:val="2E74B5" w:themeColor="accent1" w:themeShade="BF"/>
              </w:rPr>
            </w:pPr>
            <w:r w:rsidRPr="00BB6AA6">
              <w:rPr>
                <w:color w:val="2E74B5" w:themeColor="accent1" w:themeShade="BF"/>
              </w:rPr>
              <w:t>20 mSv/year</w:t>
            </w:r>
          </w:p>
        </w:tc>
      </w:tr>
    </w:tbl>
    <w:p w14:paraId="19AB4ED8" w14:textId="77777777" w:rsidR="00961A1A" w:rsidRPr="00BB6AA6" w:rsidRDefault="00961A1A" w:rsidP="00961A1A">
      <w:pPr>
        <w:tabs>
          <w:tab w:val="left" w:pos="0"/>
          <w:tab w:val="left" w:pos="567"/>
        </w:tabs>
        <w:jc w:val="both"/>
        <w:rPr>
          <w:color w:val="2E74B5" w:themeColor="accent1" w:themeShade="BF"/>
        </w:rPr>
      </w:pPr>
    </w:p>
    <w:p w14:paraId="5BFC7176" w14:textId="37CCDE21" w:rsidR="00961A1A" w:rsidRPr="00BB6AA6" w:rsidRDefault="00961A1A" w:rsidP="009C4C47">
      <w:pPr>
        <w:tabs>
          <w:tab w:val="left" w:pos="0"/>
          <w:tab w:val="left" w:pos="567"/>
        </w:tabs>
        <w:jc w:val="both"/>
        <w:rPr>
          <w:color w:val="2E74B5" w:themeColor="accent1" w:themeShade="BF"/>
        </w:rPr>
      </w:pPr>
      <w:r w:rsidRPr="00BB6AA6">
        <w:rPr>
          <w:color w:val="2E74B5" w:themeColor="accent1" w:themeShade="BF"/>
        </w:rPr>
        <w:t>For staff members, designated as non-</w:t>
      </w:r>
      <w:r w:rsidR="009C4C47">
        <w:rPr>
          <w:color w:val="2E74B5" w:themeColor="accent1" w:themeShade="BF"/>
        </w:rPr>
        <w:t>classified</w:t>
      </w:r>
      <w:r w:rsidRPr="00BB6AA6">
        <w:rPr>
          <w:color w:val="2E74B5" w:themeColor="accent1" w:themeShade="BF"/>
        </w:rPr>
        <w:t xml:space="preserve"> workers, accepted dose limits are set (see Table </w:t>
      </w:r>
      <w:r w:rsidR="009C4C47">
        <w:rPr>
          <w:color w:val="2E74B5" w:themeColor="accent1" w:themeShade="BF"/>
        </w:rPr>
        <w:t>2</w:t>
      </w:r>
      <w:r w:rsidRPr="00BB6AA6">
        <w:rPr>
          <w:color w:val="2E74B5" w:themeColor="accent1" w:themeShade="BF"/>
        </w:rPr>
        <w:t xml:space="preserve">). The accepted dose limit is a specified level of radiation dose received by a worker above which a formal investigation will be undertaken by the RSO in order to ensure that exposure to ionizing radiation is being restricted as low as is reasonably achievable. </w:t>
      </w:r>
    </w:p>
    <w:p w14:paraId="7E999028" w14:textId="676F450A" w:rsidR="00961A1A" w:rsidRPr="00BB6AA6" w:rsidRDefault="00961A1A" w:rsidP="00226E68">
      <w:pPr>
        <w:jc w:val="both"/>
        <w:rPr>
          <w:color w:val="2E74B5" w:themeColor="accent1" w:themeShade="BF"/>
        </w:rPr>
      </w:pPr>
      <w:r w:rsidRPr="00BB6AA6">
        <w:rPr>
          <w:color w:val="2E74B5" w:themeColor="accent1" w:themeShade="BF"/>
        </w:rPr>
        <w:t xml:space="preserve">The article </w:t>
      </w:r>
      <w:r w:rsidR="00D50F3E" w:rsidRPr="00BB6AA6">
        <w:rPr>
          <w:color w:val="2E74B5" w:themeColor="accent1" w:themeShade="BF"/>
        </w:rPr>
        <w:t>(</w:t>
      </w:r>
      <w:r w:rsidRPr="00BB6AA6">
        <w:rPr>
          <w:color w:val="2E74B5" w:themeColor="accent1" w:themeShade="BF"/>
        </w:rPr>
        <w:t>51</w:t>
      </w:r>
      <w:r w:rsidR="00D50F3E" w:rsidRPr="00BB6AA6">
        <w:rPr>
          <w:color w:val="2E74B5" w:themeColor="accent1" w:themeShade="BF"/>
        </w:rPr>
        <w:t>)</w:t>
      </w:r>
      <w:r w:rsidRPr="00BB6AA6">
        <w:rPr>
          <w:color w:val="2E74B5" w:themeColor="accent1" w:themeShade="BF"/>
        </w:rPr>
        <w:t xml:space="preserve"> also sets an exposure limits for the fetus of pregnant women to </w:t>
      </w:r>
      <w:r w:rsidR="00226E68" w:rsidRPr="00BB6AA6">
        <w:rPr>
          <w:color w:val="2E74B5" w:themeColor="accent1" w:themeShade="BF"/>
        </w:rPr>
        <w:t>1</w:t>
      </w:r>
      <w:r w:rsidRPr="00BB6AA6">
        <w:rPr>
          <w:color w:val="2E74B5" w:themeColor="accent1" w:themeShade="BF"/>
        </w:rPr>
        <w:t xml:space="preserve"> mSv from the declaration of the pregnancy.</w:t>
      </w:r>
    </w:p>
    <w:p w14:paraId="57C24D26" w14:textId="77777777" w:rsidR="00BB6AA6" w:rsidRDefault="00BB6AA6" w:rsidP="00BB6AA6">
      <w:pPr>
        <w:jc w:val="both"/>
      </w:pPr>
    </w:p>
    <w:p w14:paraId="49178FE1" w14:textId="54169833" w:rsidR="00BB6AA6" w:rsidRPr="00BB6AA6" w:rsidRDefault="00BB6AA6" w:rsidP="00BB6AA6">
      <w:pPr>
        <w:jc w:val="both"/>
        <w:rPr>
          <w:i/>
          <w:iCs/>
        </w:rPr>
      </w:pPr>
      <w:r w:rsidRPr="00BB6AA6">
        <w:rPr>
          <w:i/>
          <w:iCs/>
          <w:color w:val="FF0000"/>
        </w:rPr>
        <w:t>For CT/irradiator</w:t>
      </w:r>
    </w:p>
    <w:p w14:paraId="166543FA" w14:textId="2C221D4E" w:rsidR="00BB6AA6" w:rsidRDefault="00BB6AA6" w:rsidP="009C4C47">
      <w:pPr>
        <w:spacing w:after="120"/>
        <w:jc w:val="both"/>
        <w:rPr>
          <w:color w:val="538135" w:themeColor="accent6" w:themeShade="BF"/>
        </w:rPr>
      </w:pPr>
      <w:r w:rsidRPr="00BB6AA6">
        <w:rPr>
          <w:color w:val="538135" w:themeColor="accent6" w:themeShade="BF"/>
        </w:rPr>
        <w:t xml:space="preserve">All users of the CT scanner mentioned above are </w:t>
      </w:r>
      <w:r>
        <w:rPr>
          <w:color w:val="538135" w:themeColor="accent6" w:themeShade="BF"/>
        </w:rPr>
        <w:t xml:space="preserve">considered </w:t>
      </w:r>
      <w:r w:rsidRPr="00BB6AA6">
        <w:rPr>
          <w:color w:val="538135" w:themeColor="accent6" w:themeShade="BF"/>
          <w:u w:val="single"/>
        </w:rPr>
        <w:t>classified workers</w:t>
      </w:r>
      <w:r w:rsidRPr="00BB6AA6">
        <w:rPr>
          <w:color w:val="538135" w:themeColor="accent6" w:themeShade="BF"/>
        </w:rPr>
        <w:t>; i.e. the occupational dose limits set in article (80) of the regulations apply to them. In addition, KAUST has set accepted dose levels; these are not an absolute limits but are intended to provide guidelines to ensure doses are kept as low as reasonably achievable. If the accepted dose levels are exceeded, an investigation by the RSO will be carried out. In addition, it is important to note that this radiation-producing equipment is equipped with sufficient engineering control measures which means that radiation doses to individuals are not expected to exceed the general public dose limits set in the regulations. A summary of these limits is shown in</w:t>
      </w:r>
      <w:r w:rsidR="009C4C47">
        <w:rPr>
          <w:color w:val="538135" w:themeColor="accent6" w:themeShade="BF"/>
        </w:rPr>
        <w:t xml:space="preserve"> Table 2.</w:t>
      </w:r>
    </w:p>
    <w:p w14:paraId="0365F4B7" w14:textId="5A0068D4" w:rsidR="009C4C47" w:rsidRPr="00BB6AA6" w:rsidRDefault="009C4C47" w:rsidP="009C4C47">
      <w:pPr>
        <w:jc w:val="both"/>
        <w:rPr>
          <w:color w:val="538135" w:themeColor="accent6" w:themeShade="BF"/>
        </w:rPr>
      </w:pPr>
      <w:r>
        <w:rPr>
          <w:color w:val="538135" w:themeColor="accent6" w:themeShade="BF"/>
        </w:rPr>
        <w:t>Table 2: Classified workers radiation dose limits set by K.A.CARE and accepted dose levels set at KAUST.</w:t>
      </w:r>
    </w:p>
    <w:tbl>
      <w:tblPr>
        <w:tblStyle w:val="TableGrid"/>
        <w:tblW w:w="0" w:type="auto"/>
        <w:jc w:val="center"/>
        <w:tblCellMar>
          <w:left w:w="58" w:type="dxa"/>
          <w:right w:w="58" w:type="dxa"/>
        </w:tblCellMar>
        <w:tblLook w:val="04A0" w:firstRow="1" w:lastRow="0" w:firstColumn="1" w:lastColumn="0" w:noHBand="0" w:noVBand="1"/>
      </w:tblPr>
      <w:tblGrid>
        <w:gridCol w:w="1525"/>
        <w:gridCol w:w="3285"/>
        <w:gridCol w:w="3285"/>
      </w:tblGrid>
      <w:tr w:rsidR="00BB6AA6" w:rsidRPr="00BB6AA6" w14:paraId="7C0F3322" w14:textId="77777777" w:rsidTr="001F16F5">
        <w:trPr>
          <w:trHeight w:val="720"/>
          <w:jc w:val="center"/>
        </w:trPr>
        <w:tc>
          <w:tcPr>
            <w:tcW w:w="1525" w:type="dxa"/>
            <w:shd w:val="clear" w:color="auto" w:fill="D9D9D9" w:themeFill="background1" w:themeFillShade="D9"/>
            <w:vAlign w:val="center"/>
          </w:tcPr>
          <w:p w14:paraId="45ED8D82" w14:textId="77777777" w:rsidR="00BB6AA6" w:rsidRPr="00BB6AA6" w:rsidRDefault="00BB6AA6" w:rsidP="001F16F5">
            <w:pPr>
              <w:jc w:val="center"/>
              <w:rPr>
                <w:b/>
                <w:bCs/>
                <w:color w:val="538135" w:themeColor="accent6" w:themeShade="BF"/>
              </w:rPr>
            </w:pPr>
          </w:p>
        </w:tc>
        <w:tc>
          <w:tcPr>
            <w:tcW w:w="3285" w:type="dxa"/>
            <w:shd w:val="clear" w:color="auto" w:fill="D9D9D9" w:themeFill="background1" w:themeFillShade="D9"/>
            <w:vAlign w:val="center"/>
          </w:tcPr>
          <w:p w14:paraId="455A9D33" w14:textId="77777777" w:rsidR="00BB6AA6" w:rsidRPr="00BB6AA6" w:rsidRDefault="00BB6AA6" w:rsidP="001F16F5">
            <w:pPr>
              <w:jc w:val="center"/>
              <w:rPr>
                <w:b/>
                <w:bCs/>
                <w:color w:val="538135" w:themeColor="accent6" w:themeShade="BF"/>
              </w:rPr>
            </w:pPr>
            <w:r w:rsidRPr="00BB6AA6">
              <w:rPr>
                <w:b/>
                <w:bCs/>
                <w:color w:val="538135" w:themeColor="accent6" w:themeShade="BF"/>
              </w:rPr>
              <w:t>Occupational dose limits set by K.A.CARE</w:t>
            </w:r>
          </w:p>
        </w:tc>
        <w:tc>
          <w:tcPr>
            <w:tcW w:w="3285" w:type="dxa"/>
            <w:shd w:val="clear" w:color="auto" w:fill="D9D9D9" w:themeFill="background1" w:themeFillShade="D9"/>
            <w:vAlign w:val="center"/>
          </w:tcPr>
          <w:p w14:paraId="404D99B9" w14:textId="77777777" w:rsidR="00BB6AA6" w:rsidRPr="00BB6AA6" w:rsidRDefault="00BB6AA6" w:rsidP="001F16F5">
            <w:pPr>
              <w:jc w:val="center"/>
              <w:rPr>
                <w:b/>
                <w:bCs/>
                <w:color w:val="538135" w:themeColor="accent6" w:themeShade="BF"/>
              </w:rPr>
            </w:pPr>
            <w:r w:rsidRPr="00BB6AA6">
              <w:rPr>
                <w:b/>
                <w:bCs/>
                <w:color w:val="538135" w:themeColor="accent6" w:themeShade="BF"/>
              </w:rPr>
              <w:t>Occupational accepted dose levels set at KAUST</w:t>
            </w:r>
          </w:p>
        </w:tc>
      </w:tr>
      <w:tr w:rsidR="00BB6AA6" w:rsidRPr="00BB6AA6" w14:paraId="5ADD0AC2" w14:textId="77777777" w:rsidTr="001F16F5">
        <w:trPr>
          <w:trHeight w:val="432"/>
          <w:jc w:val="center"/>
        </w:trPr>
        <w:tc>
          <w:tcPr>
            <w:tcW w:w="1525" w:type="dxa"/>
            <w:shd w:val="clear" w:color="auto" w:fill="D9D9D9" w:themeFill="background1" w:themeFillShade="D9"/>
            <w:vAlign w:val="center"/>
          </w:tcPr>
          <w:p w14:paraId="6E2992E3" w14:textId="77777777" w:rsidR="00BB6AA6" w:rsidRPr="00BB6AA6" w:rsidRDefault="00BB6AA6" w:rsidP="001F16F5">
            <w:pPr>
              <w:jc w:val="center"/>
              <w:rPr>
                <w:b/>
                <w:bCs/>
                <w:color w:val="538135" w:themeColor="accent6" w:themeShade="BF"/>
              </w:rPr>
            </w:pPr>
            <w:r w:rsidRPr="00BB6AA6">
              <w:rPr>
                <w:b/>
                <w:bCs/>
                <w:color w:val="538135" w:themeColor="accent6" w:themeShade="BF"/>
              </w:rPr>
              <w:t>Whole Body</w:t>
            </w:r>
          </w:p>
        </w:tc>
        <w:tc>
          <w:tcPr>
            <w:tcW w:w="3285" w:type="dxa"/>
            <w:vAlign w:val="center"/>
          </w:tcPr>
          <w:p w14:paraId="4BF51243" w14:textId="77777777" w:rsidR="00BB6AA6" w:rsidRPr="00BB6AA6" w:rsidRDefault="00BB6AA6" w:rsidP="001F16F5">
            <w:pPr>
              <w:jc w:val="center"/>
              <w:rPr>
                <w:color w:val="538135" w:themeColor="accent6" w:themeShade="BF"/>
              </w:rPr>
            </w:pPr>
            <w:r w:rsidRPr="00BB6AA6">
              <w:rPr>
                <w:color w:val="538135" w:themeColor="accent6" w:themeShade="BF"/>
              </w:rPr>
              <w:t>20 mSv/year</w:t>
            </w:r>
          </w:p>
        </w:tc>
        <w:tc>
          <w:tcPr>
            <w:tcW w:w="3285" w:type="dxa"/>
            <w:vAlign w:val="center"/>
          </w:tcPr>
          <w:p w14:paraId="13CA81AA" w14:textId="77777777" w:rsidR="00BB6AA6" w:rsidRPr="00BB6AA6" w:rsidRDefault="00BB6AA6" w:rsidP="001F16F5">
            <w:pPr>
              <w:jc w:val="center"/>
              <w:rPr>
                <w:color w:val="538135" w:themeColor="accent6" w:themeShade="BF"/>
              </w:rPr>
            </w:pPr>
            <w:r w:rsidRPr="00BB6AA6">
              <w:rPr>
                <w:color w:val="538135" w:themeColor="accent6" w:themeShade="BF"/>
              </w:rPr>
              <w:t>1 mSv/year</w:t>
            </w:r>
          </w:p>
        </w:tc>
      </w:tr>
      <w:tr w:rsidR="00BB6AA6" w:rsidRPr="00BB6AA6" w14:paraId="71CDB143" w14:textId="77777777" w:rsidTr="001F16F5">
        <w:trPr>
          <w:trHeight w:val="432"/>
          <w:jc w:val="center"/>
        </w:trPr>
        <w:tc>
          <w:tcPr>
            <w:tcW w:w="1525" w:type="dxa"/>
            <w:shd w:val="clear" w:color="auto" w:fill="D9D9D9" w:themeFill="background1" w:themeFillShade="D9"/>
            <w:vAlign w:val="center"/>
          </w:tcPr>
          <w:p w14:paraId="6CF29090" w14:textId="77777777" w:rsidR="00BB6AA6" w:rsidRPr="00BB6AA6" w:rsidRDefault="00BB6AA6" w:rsidP="001F16F5">
            <w:pPr>
              <w:jc w:val="center"/>
              <w:rPr>
                <w:b/>
                <w:bCs/>
                <w:color w:val="538135" w:themeColor="accent6" w:themeShade="BF"/>
              </w:rPr>
            </w:pPr>
            <w:r w:rsidRPr="00BB6AA6">
              <w:rPr>
                <w:b/>
                <w:bCs/>
                <w:color w:val="538135" w:themeColor="accent6" w:themeShade="BF"/>
              </w:rPr>
              <w:t>Lens of the eye</w:t>
            </w:r>
          </w:p>
        </w:tc>
        <w:tc>
          <w:tcPr>
            <w:tcW w:w="3285" w:type="dxa"/>
            <w:vAlign w:val="center"/>
          </w:tcPr>
          <w:p w14:paraId="30A0C738" w14:textId="77777777" w:rsidR="00BB6AA6" w:rsidRPr="00BB6AA6" w:rsidRDefault="00BB6AA6" w:rsidP="001F16F5">
            <w:pPr>
              <w:jc w:val="center"/>
              <w:rPr>
                <w:color w:val="538135" w:themeColor="accent6" w:themeShade="BF"/>
              </w:rPr>
            </w:pPr>
            <w:r w:rsidRPr="00BB6AA6">
              <w:rPr>
                <w:color w:val="538135" w:themeColor="accent6" w:themeShade="BF"/>
              </w:rPr>
              <w:t>20 mSv/year</w:t>
            </w:r>
          </w:p>
        </w:tc>
        <w:tc>
          <w:tcPr>
            <w:tcW w:w="3285" w:type="dxa"/>
            <w:vAlign w:val="center"/>
          </w:tcPr>
          <w:p w14:paraId="23078032" w14:textId="77777777" w:rsidR="00BB6AA6" w:rsidRPr="00BB6AA6" w:rsidRDefault="00BB6AA6" w:rsidP="001F16F5">
            <w:pPr>
              <w:jc w:val="center"/>
              <w:rPr>
                <w:color w:val="538135" w:themeColor="accent6" w:themeShade="BF"/>
              </w:rPr>
            </w:pPr>
            <w:r w:rsidRPr="00BB6AA6">
              <w:rPr>
                <w:color w:val="538135" w:themeColor="accent6" w:themeShade="BF"/>
              </w:rPr>
              <w:t>15 mSv/year</w:t>
            </w:r>
          </w:p>
        </w:tc>
      </w:tr>
      <w:tr w:rsidR="00BB6AA6" w:rsidRPr="00BB6AA6" w14:paraId="7F606680" w14:textId="77777777" w:rsidTr="001F16F5">
        <w:trPr>
          <w:trHeight w:val="432"/>
          <w:jc w:val="center"/>
        </w:trPr>
        <w:tc>
          <w:tcPr>
            <w:tcW w:w="1525" w:type="dxa"/>
            <w:shd w:val="clear" w:color="auto" w:fill="D9D9D9" w:themeFill="background1" w:themeFillShade="D9"/>
            <w:vAlign w:val="center"/>
          </w:tcPr>
          <w:p w14:paraId="7B1652E5" w14:textId="77777777" w:rsidR="00BB6AA6" w:rsidRPr="00BB6AA6" w:rsidRDefault="00BB6AA6" w:rsidP="001F16F5">
            <w:pPr>
              <w:jc w:val="center"/>
              <w:rPr>
                <w:b/>
                <w:bCs/>
                <w:color w:val="538135" w:themeColor="accent6" w:themeShade="BF"/>
              </w:rPr>
            </w:pPr>
            <w:r w:rsidRPr="00BB6AA6">
              <w:rPr>
                <w:b/>
                <w:bCs/>
                <w:color w:val="538135" w:themeColor="accent6" w:themeShade="BF"/>
              </w:rPr>
              <w:t>Extremities</w:t>
            </w:r>
          </w:p>
        </w:tc>
        <w:tc>
          <w:tcPr>
            <w:tcW w:w="3285" w:type="dxa"/>
            <w:vAlign w:val="center"/>
          </w:tcPr>
          <w:p w14:paraId="22770943" w14:textId="77777777" w:rsidR="00BB6AA6" w:rsidRPr="00BB6AA6" w:rsidRDefault="00BB6AA6" w:rsidP="001F16F5">
            <w:pPr>
              <w:jc w:val="center"/>
              <w:rPr>
                <w:color w:val="538135" w:themeColor="accent6" w:themeShade="BF"/>
              </w:rPr>
            </w:pPr>
            <w:r w:rsidRPr="00BB6AA6">
              <w:rPr>
                <w:color w:val="538135" w:themeColor="accent6" w:themeShade="BF"/>
              </w:rPr>
              <w:t>500 mSv/year</w:t>
            </w:r>
          </w:p>
        </w:tc>
        <w:tc>
          <w:tcPr>
            <w:tcW w:w="3285" w:type="dxa"/>
            <w:vAlign w:val="center"/>
          </w:tcPr>
          <w:p w14:paraId="4BAB22BC" w14:textId="77777777" w:rsidR="00BB6AA6" w:rsidRPr="00BB6AA6" w:rsidRDefault="00BB6AA6" w:rsidP="001F16F5">
            <w:pPr>
              <w:jc w:val="center"/>
              <w:rPr>
                <w:color w:val="538135" w:themeColor="accent6" w:themeShade="BF"/>
              </w:rPr>
            </w:pPr>
            <w:r w:rsidRPr="00BB6AA6">
              <w:rPr>
                <w:color w:val="538135" w:themeColor="accent6" w:themeShade="BF"/>
              </w:rPr>
              <w:t>50 mSv/year</w:t>
            </w:r>
          </w:p>
        </w:tc>
      </w:tr>
    </w:tbl>
    <w:p w14:paraId="30494565" w14:textId="77777777" w:rsidR="00BB6AA6" w:rsidRPr="00BB6AA6" w:rsidRDefault="00BB6AA6" w:rsidP="00BB6AA6">
      <w:pPr>
        <w:tabs>
          <w:tab w:val="left" w:pos="0"/>
          <w:tab w:val="left" w:pos="567"/>
        </w:tabs>
        <w:jc w:val="both"/>
        <w:rPr>
          <w:color w:val="538135" w:themeColor="accent6" w:themeShade="BF"/>
        </w:rPr>
      </w:pPr>
    </w:p>
    <w:p w14:paraId="1EBEC4AB" w14:textId="643ECC87" w:rsidR="00BB6AA6" w:rsidRPr="00BB6AA6" w:rsidRDefault="00BB6AA6" w:rsidP="00BB6AA6">
      <w:pPr>
        <w:jc w:val="both"/>
        <w:rPr>
          <w:color w:val="538135" w:themeColor="accent6" w:themeShade="BF"/>
        </w:rPr>
      </w:pPr>
      <w:r w:rsidRPr="00BB6AA6">
        <w:rPr>
          <w:color w:val="538135" w:themeColor="accent6" w:themeShade="BF"/>
        </w:rPr>
        <w:lastRenderedPageBreak/>
        <w:t>The article (51) also sets an external exposure limits for the pregnant women to 2 mSv from the declaration of the pregnancy.</w:t>
      </w:r>
    </w:p>
    <w:p w14:paraId="357A635A" w14:textId="183509CE" w:rsidR="00847EA6" w:rsidRPr="00847EA6" w:rsidRDefault="00847EA6" w:rsidP="00847EA6">
      <w:pPr>
        <w:pStyle w:val="Heading2"/>
        <w:rPr>
          <w:b/>
          <w:bCs/>
          <w:color w:val="auto"/>
        </w:rPr>
      </w:pPr>
      <w:r w:rsidRPr="00847EA6">
        <w:rPr>
          <w:b/>
          <w:bCs/>
          <w:color w:val="auto"/>
        </w:rPr>
        <w:t>Personnel Monitoring</w:t>
      </w:r>
    </w:p>
    <w:p w14:paraId="1F781A14" w14:textId="114587ED" w:rsidR="00B753E8" w:rsidRPr="00BC55C0" w:rsidRDefault="00B753E8" w:rsidP="0085682C">
      <w:pPr>
        <w:jc w:val="both"/>
        <w:rPr>
          <w:i/>
          <w:iCs/>
          <w:color w:val="FF0000"/>
        </w:rPr>
      </w:pPr>
      <w:r w:rsidRPr="00BC55C0">
        <w:rPr>
          <w:i/>
          <w:iCs/>
          <w:color w:val="FF0000"/>
        </w:rPr>
        <w:t>For SEM/TEM and X-ray Analysis equipment</w:t>
      </w:r>
    </w:p>
    <w:p w14:paraId="17254E78" w14:textId="7F8CBA59" w:rsidR="002E015B" w:rsidRPr="00BC55C0" w:rsidRDefault="00001B88" w:rsidP="00BC55C0">
      <w:pPr>
        <w:jc w:val="both"/>
        <w:rPr>
          <w:color w:val="2E74B5" w:themeColor="accent1" w:themeShade="BF"/>
        </w:rPr>
      </w:pPr>
      <w:r w:rsidRPr="00BC55C0">
        <w:rPr>
          <w:color w:val="2E74B5" w:themeColor="accent1" w:themeShade="BF"/>
        </w:rPr>
        <w:t xml:space="preserve">Workers using fully enclosed </w:t>
      </w:r>
      <w:r w:rsidR="00961A1A" w:rsidRPr="00BC55C0">
        <w:rPr>
          <w:color w:val="2E74B5" w:themeColor="accent1" w:themeShade="BF"/>
        </w:rPr>
        <w:t>x</w:t>
      </w:r>
      <w:r w:rsidRPr="00BC55C0">
        <w:rPr>
          <w:color w:val="2E74B5" w:themeColor="accent1" w:themeShade="BF"/>
        </w:rPr>
        <w:t>-ray systems</w:t>
      </w:r>
      <w:r w:rsidR="00485CB7" w:rsidRPr="00BC55C0">
        <w:rPr>
          <w:color w:val="2E74B5" w:themeColor="accent1" w:themeShade="BF"/>
        </w:rPr>
        <w:t xml:space="preserve"> in </w:t>
      </w:r>
      <w:r w:rsidR="002E015B" w:rsidRPr="00BC55C0">
        <w:rPr>
          <w:color w:val="2E74B5" w:themeColor="accent1" w:themeShade="BF"/>
        </w:rPr>
        <w:t xml:space="preserve">Non-Designated Area are not expected to receive a radiation dose above background level because of the engineering controls in place. As a result, they </w:t>
      </w:r>
      <w:r w:rsidR="002E015B" w:rsidRPr="00BC55C0">
        <w:rPr>
          <w:color w:val="2E74B5" w:themeColor="accent1" w:themeShade="BF"/>
          <w:u w:val="single"/>
        </w:rPr>
        <w:t>do not</w:t>
      </w:r>
      <w:r w:rsidR="002E015B" w:rsidRPr="00BC55C0">
        <w:rPr>
          <w:color w:val="2E74B5" w:themeColor="accent1" w:themeShade="BF"/>
        </w:rPr>
        <w:t xml:space="preserve"> require personal dosimeters. However, the radiation-producing equipment is subject to area dosimetry monitoring to confirm that non-</w:t>
      </w:r>
      <w:r w:rsidR="00BC55C0">
        <w:rPr>
          <w:color w:val="2E74B5" w:themeColor="accent1" w:themeShade="BF"/>
        </w:rPr>
        <w:t>classified</w:t>
      </w:r>
      <w:r w:rsidR="002E015B" w:rsidRPr="00BC55C0">
        <w:rPr>
          <w:color w:val="2E74B5" w:themeColor="accent1" w:themeShade="BF"/>
        </w:rPr>
        <w:t xml:space="preserve"> </w:t>
      </w:r>
      <w:r w:rsidR="00807168" w:rsidRPr="00BC55C0">
        <w:rPr>
          <w:color w:val="2E74B5" w:themeColor="accent1" w:themeShade="BF"/>
        </w:rPr>
        <w:t>work</w:t>
      </w:r>
      <w:r w:rsidR="002E015B" w:rsidRPr="00BC55C0">
        <w:rPr>
          <w:color w:val="2E74B5" w:themeColor="accent1" w:themeShade="BF"/>
        </w:rPr>
        <w:t xml:space="preserve">ers are unlikely to exceed the accepted dose levels set at KAUST. All </w:t>
      </w:r>
      <w:r w:rsidR="00BC55C0">
        <w:rPr>
          <w:color w:val="2E74B5" w:themeColor="accent1" w:themeShade="BF"/>
        </w:rPr>
        <w:t>area monitoring</w:t>
      </w:r>
      <w:r w:rsidR="002E015B" w:rsidRPr="00BC55C0">
        <w:rPr>
          <w:color w:val="2E74B5" w:themeColor="accent1" w:themeShade="BF"/>
        </w:rPr>
        <w:t xml:space="preserve"> will </w:t>
      </w:r>
      <w:r w:rsidR="00807168" w:rsidRPr="00BC55C0">
        <w:rPr>
          <w:color w:val="2E74B5" w:themeColor="accent1" w:themeShade="BF"/>
        </w:rPr>
        <w:t xml:space="preserve">be </w:t>
      </w:r>
      <w:r w:rsidR="002E015B" w:rsidRPr="00BC55C0">
        <w:rPr>
          <w:color w:val="2E74B5" w:themeColor="accent1" w:themeShade="BF"/>
        </w:rPr>
        <w:t>kept on file.</w:t>
      </w:r>
    </w:p>
    <w:p w14:paraId="337C43C6" w14:textId="14B7FB3A" w:rsidR="00B753E8" w:rsidRPr="00BC55C0" w:rsidRDefault="00B753E8" w:rsidP="0085682C">
      <w:pPr>
        <w:jc w:val="both"/>
        <w:rPr>
          <w:i/>
          <w:iCs/>
          <w:color w:val="FF0000"/>
        </w:rPr>
      </w:pPr>
      <w:r w:rsidRPr="00BC55C0">
        <w:rPr>
          <w:i/>
          <w:iCs/>
          <w:color w:val="FF0000"/>
        </w:rPr>
        <w:t>For CT/irradiator</w:t>
      </w:r>
    </w:p>
    <w:p w14:paraId="6197B999" w14:textId="59DAB630" w:rsidR="00B753E8" w:rsidRPr="00BC55C0" w:rsidRDefault="00B753E8" w:rsidP="00BC55C0">
      <w:pPr>
        <w:jc w:val="both"/>
        <w:rPr>
          <w:color w:val="538135" w:themeColor="accent6" w:themeShade="BF"/>
        </w:rPr>
      </w:pPr>
      <w:r w:rsidRPr="00BC55C0">
        <w:rPr>
          <w:color w:val="538135" w:themeColor="accent6" w:themeShade="BF"/>
        </w:rPr>
        <w:t>Workers using fully enclosed x-ray systems in Supervised Area are required to wear whole body personal dosimeter issued by Research Safety Team. The whole body person</w:t>
      </w:r>
      <w:r w:rsidR="00BC55C0" w:rsidRPr="00BC55C0">
        <w:rPr>
          <w:color w:val="538135" w:themeColor="accent6" w:themeShade="BF"/>
        </w:rPr>
        <w:t>al</w:t>
      </w:r>
      <w:r w:rsidRPr="00BC55C0">
        <w:rPr>
          <w:color w:val="538135" w:themeColor="accent6" w:themeShade="BF"/>
        </w:rPr>
        <w:t xml:space="preserve"> dosimeter should be worn attached to the lab coat top pocket or trousers’ belt,</w:t>
      </w:r>
      <w:r w:rsidRPr="00BC55C0">
        <w:rPr>
          <w:rFonts w:cstheme="minorHAnsi"/>
          <w:color w:val="538135" w:themeColor="accent6" w:themeShade="BF"/>
        </w:rPr>
        <w:t xml:space="preserve"> and returned on the specified dates to the LSR</w:t>
      </w:r>
      <w:r w:rsidRPr="00BC55C0">
        <w:rPr>
          <w:color w:val="538135" w:themeColor="accent6" w:themeShade="BF"/>
        </w:rPr>
        <w:t>.</w:t>
      </w:r>
    </w:p>
    <w:p w14:paraId="4ABE0F9A" w14:textId="77777777" w:rsidR="00C62EBC" w:rsidRPr="001366B6" w:rsidRDefault="00C62EBC" w:rsidP="00C62EBC">
      <w:pPr>
        <w:pStyle w:val="Heading2"/>
        <w:rPr>
          <w:b/>
          <w:bCs/>
          <w:color w:val="auto"/>
        </w:rPr>
      </w:pPr>
      <w:r w:rsidRPr="001366B6">
        <w:rPr>
          <w:b/>
          <w:bCs/>
          <w:color w:val="auto"/>
        </w:rPr>
        <w:t>Pregnant staff</w:t>
      </w:r>
    </w:p>
    <w:p w14:paraId="7869602F" w14:textId="2E66DF32" w:rsidR="00C62EBC" w:rsidRPr="001366B6" w:rsidRDefault="00C62EBC" w:rsidP="002E015B">
      <w:pPr>
        <w:jc w:val="both"/>
      </w:pPr>
      <w:r w:rsidRPr="001366B6">
        <w:t xml:space="preserve">Whilst pregnant workers </w:t>
      </w:r>
      <w:r w:rsidR="008D5E59">
        <w:t xml:space="preserve">are not generally banned </w:t>
      </w:r>
      <w:r w:rsidRPr="001366B6">
        <w:t>from working with</w:t>
      </w:r>
      <w:r w:rsidR="008D5E59">
        <w:t xml:space="preserve"> devices producing</w:t>
      </w:r>
      <w:r w:rsidRPr="001366B6">
        <w:t xml:space="preserve"> ionizing radiation, it is extremely important that female members of staff and students are informed of the importance of declaring </w:t>
      </w:r>
      <w:r w:rsidR="008D5E59">
        <w:t>any</w:t>
      </w:r>
      <w:r w:rsidR="008D5E59" w:rsidRPr="001366B6">
        <w:t xml:space="preserve"> </w:t>
      </w:r>
      <w:r w:rsidRPr="001366B6">
        <w:t xml:space="preserve">pregnancy. </w:t>
      </w:r>
      <w:r w:rsidR="008D5E59">
        <w:t>Only after such</w:t>
      </w:r>
      <w:r w:rsidRPr="001366B6">
        <w:t xml:space="preserve"> declaration </w:t>
      </w:r>
      <w:r w:rsidR="002C7C9F">
        <w:t>can</w:t>
      </w:r>
      <w:r>
        <w:t xml:space="preserve"> steps </w:t>
      </w:r>
      <w:r w:rsidR="002C7C9F">
        <w:t xml:space="preserve">be </w:t>
      </w:r>
      <w:r>
        <w:t xml:space="preserve">taken to </w:t>
      </w:r>
      <w:r w:rsidRPr="001366B6">
        <w:t xml:space="preserve">restrict </w:t>
      </w:r>
      <w:r w:rsidR="002C7C9F">
        <w:t>any exposure of</w:t>
      </w:r>
      <w:r w:rsidRPr="001366B6">
        <w:t xml:space="preserve"> the fetus</w:t>
      </w:r>
      <w:r w:rsidR="002C7C9F">
        <w:t xml:space="preserve"> to ionizing radiation</w:t>
      </w:r>
      <w:r w:rsidRPr="001366B6">
        <w:t>.</w:t>
      </w:r>
      <w:r w:rsidR="00485CB7">
        <w:t xml:space="preserve"> </w:t>
      </w:r>
    </w:p>
    <w:p w14:paraId="24A73D9D" w14:textId="7AC6BA41" w:rsidR="00136836" w:rsidRPr="00226E68" w:rsidRDefault="00C62EBC" w:rsidP="00DC56F2">
      <w:pPr>
        <w:jc w:val="both"/>
        <w:rPr>
          <w:b/>
          <w:bCs/>
          <w:strike/>
        </w:rPr>
      </w:pPr>
      <w:r w:rsidRPr="00C62EBC">
        <w:t xml:space="preserve">For the majority of mothers-to-be, there will </w:t>
      </w:r>
      <w:r w:rsidR="002C7C9F">
        <w:t>likely</w:t>
      </w:r>
      <w:r w:rsidR="002C7C9F" w:rsidRPr="00C62EBC">
        <w:t xml:space="preserve"> </w:t>
      </w:r>
      <w:r w:rsidRPr="00C62EBC">
        <w:t xml:space="preserve">be no requirement to alter their work activities / research practices involving ionizing radiation. </w:t>
      </w:r>
    </w:p>
    <w:p w14:paraId="5FAE8911" w14:textId="333026CD" w:rsidR="00136836" w:rsidRPr="002A53A0" w:rsidRDefault="008064DA" w:rsidP="00136836">
      <w:pPr>
        <w:pStyle w:val="Heading1"/>
        <w:rPr>
          <w:bCs/>
        </w:rPr>
      </w:pPr>
      <w:r w:rsidRPr="002A53A0">
        <w:rPr>
          <w:bCs/>
        </w:rPr>
        <w:t>Maintenance Plan</w:t>
      </w:r>
    </w:p>
    <w:p w14:paraId="77D30EB0" w14:textId="04CDD429" w:rsidR="00BC55C0" w:rsidRDefault="00BC55C0" w:rsidP="008064DA">
      <w:r w:rsidRPr="00BC55C0">
        <w:rPr>
          <w:i/>
          <w:iCs/>
          <w:color w:val="FF0000"/>
        </w:rPr>
        <w:t>For SEM/TEM and X-ray Analysis equipment</w:t>
      </w:r>
    </w:p>
    <w:p w14:paraId="73BCF5D7" w14:textId="19CF33A3" w:rsidR="008064DA" w:rsidRPr="002A53A0" w:rsidRDefault="002E015B" w:rsidP="00FB7BE6">
      <w:r w:rsidRPr="002A53A0">
        <w:t xml:space="preserve">A Maintenance Plan </w:t>
      </w:r>
      <w:r w:rsidR="00FB7BE6">
        <w:t>must be</w:t>
      </w:r>
      <w:r w:rsidRPr="002A53A0">
        <w:t xml:space="preserve"> submitted to the RSO and should include the following:</w:t>
      </w:r>
    </w:p>
    <w:p w14:paraId="7CF838BA" w14:textId="25BC46FB" w:rsidR="002E015B" w:rsidRDefault="002A53A0" w:rsidP="0085682C">
      <w:pPr>
        <w:pStyle w:val="ListParagraph"/>
        <w:numPr>
          <w:ilvl w:val="0"/>
          <w:numId w:val="26"/>
        </w:numPr>
        <w:tabs>
          <w:tab w:val="left" w:pos="284"/>
          <w:tab w:val="left" w:pos="567"/>
        </w:tabs>
        <w:jc w:val="both"/>
      </w:pPr>
      <w:r>
        <w:t xml:space="preserve">General maintenance of the equipment </w:t>
      </w:r>
      <w:r w:rsidR="0085682C">
        <w:t>shall</w:t>
      </w:r>
      <w:r>
        <w:t xml:space="preserve"> be carried out o</w:t>
      </w:r>
      <w:r w:rsidR="002E015B">
        <w:t>nly</w:t>
      </w:r>
      <w:r>
        <w:t xml:space="preserve"> by</w:t>
      </w:r>
      <w:r w:rsidR="0085682C">
        <w:t xml:space="preserve"> manufacturer’s engineer or</w:t>
      </w:r>
      <w:r w:rsidR="002E015B">
        <w:t xml:space="preserve"> authorized users who have been trained to perform </w:t>
      </w:r>
      <w:r>
        <w:t xml:space="preserve">these </w:t>
      </w:r>
      <w:r w:rsidR="002E015B">
        <w:t>maintenance</w:t>
      </w:r>
      <w:r>
        <w:t>s</w:t>
      </w:r>
      <w:r w:rsidR="002E015B">
        <w:t xml:space="preserve"> on the equipment (e.g. beam alignment, filament replacement, vacuum pumps checks, etc.)</w:t>
      </w:r>
      <w:r>
        <w:t xml:space="preserve">. However, authorized users are </w:t>
      </w:r>
      <w:r w:rsidR="002E015B">
        <w:t>not allowed to work with open x-ray beam;</w:t>
      </w:r>
    </w:p>
    <w:p w14:paraId="6AA3E5F7" w14:textId="53339DCC" w:rsidR="002E015B" w:rsidRDefault="002E015B" w:rsidP="00664D85">
      <w:pPr>
        <w:pStyle w:val="ListParagraph"/>
        <w:numPr>
          <w:ilvl w:val="0"/>
          <w:numId w:val="26"/>
        </w:numPr>
        <w:tabs>
          <w:tab w:val="left" w:pos="284"/>
          <w:tab w:val="left" w:pos="567"/>
        </w:tabs>
        <w:jc w:val="both"/>
      </w:pPr>
      <w:r>
        <w:t xml:space="preserve">A service engineer from the manufacturer’s equipment </w:t>
      </w:r>
      <w:r w:rsidR="00664D85">
        <w:t xml:space="preserve">or sub-contractor may </w:t>
      </w:r>
      <w:r>
        <w:t>be contracted if work on open x-ray beam are required.</w:t>
      </w:r>
    </w:p>
    <w:p w14:paraId="483F1DE8" w14:textId="77777777" w:rsidR="00BC55C0" w:rsidRDefault="00BC55C0" w:rsidP="00BC55C0">
      <w:pPr>
        <w:jc w:val="both"/>
        <w:rPr>
          <w:i/>
          <w:iCs/>
          <w:color w:val="FF0000"/>
        </w:rPr>
      </w:pPr>
      <w:r w:rsidRPr="00BC55C0">
        <w:rPr>
          <w:i/>
          <w:iCs/>
          <w:color w:val="FF0000"/>
        </w:rPr>
        <w:t>For CT/irradiator</w:t>
      </w:r>
    </w:p>
    <w:p w14:paraId="689F283F" w14:textId="49B85CA8" w:rsidR="00BC55C0" w:rsidRPr="00BC55C0" w:rsidRDefault="00BC55C0" w:rsidP="00BC55C0">
      <w:pPr>
        <w:jc w:val="both"/>
        <w:rPr>
          <w:color w:val="538135" w:themeColor="accent6" w:themeShade="BF"/>
        </w:rPr>
      </w:pPr>
      <w:r>
        <w:rPr>
          <w:color w:val="538135" w:themeColor="accent6" w:themeShade="BF"/>
        </w:rPr>
        <w:t>Provide actual details of the maintenance plan for the equipment: for example general maintenance will be done by LEM, maintenance of the x-ray tube will be done when required by the manufacturer only, etc.</w:t>
      </w:r>
    </w:p>
    <w:p w14:paraId="2945D6B6" w14:textId="36D40687" w:rsidR="00E4361B" w:rsidRDefault="00DD6366" w:rsidP="00DD6366">
      <w:pPr>
        <w:pStyle w:val="Heading1"/>
        <w:rPr>
          <w:b w:val="0"/>
          <w:bCs/>
        </w:rPr>
      </w:pPr>
      <w:r>
        <w:rPr>
          <w:bCs/>
        </w:rPr>
        <w:t>Safety Measures</w:t>
      </w:r>
    </w:p>
    <w:p w14:paraId="44DB846C" w14:textId="036DEE44" w:rsidR="003359BD" w:rsidRPr="003359BD" w:rsidRDefault="003359BD" w:rsidP="003359BD">
      <w:pPr>
        <w:pStyle w:val="Heading2"/>
        <w:rPr>
          <w:b/>
          <w:bCs/>
          <w:color w:val="auto"/>
        </w:rPr>
      </w:pPr>
      <w:r w:rsidRPr="003359BD">
        <w:rPr>
          <w:b/>
          <w:bCs/>
          <w:color w:val="auto"/>
        </w:rPr>
        <w:t>Safety Features</w:t>
      </w:r>
    </w:p>
    <w:p w14:paraId="2416EBF5" w14:textId="62D72B63" w:rsidR="00B753E8" w:rsidRPr="00BC55C0" w:rsidRDefault="00B753E8" w:rsidP="002A53A0">
      <w:pPr>
        <w:jc w:val="both"/>
        <w:rPr>
          <w:i/>
          <w:iCs/>
          <w:color w:val="FF0000"/>
        </w:rPr>
      </w:pPr>
      <w:r w:rsidRPr="00BC55C0">
        <w:rPr>
          <w:i/>
          <w:iCs/>
          <w:color w:val="FF0000"/>
        </w:rPr>
        <w:t>For SEM/TEM or X-ray Analysis Equipment</w:t>
      </w:r>
      <w:r w:rsidR="00BC55C0">
        <w:rPr>
          <w:i/>
          <w:iCs/>
          <w:color w:val="FF0000"/>
        </w:rPr>
        <w:t xml:space="preserve"> – For CT/Irradiator (you must select the one that apply and add the one in green)</w:t>
      </w:r>
    </w:p>
    <w:p w14:paraId="733D8E21" w14:textId="57177598" w:rsidR="00DD6366" w:rsidRDefault="00961A1A" w:rsidP="002A53A0">
      <w:pPr>
        <w:jc w:val="both"/>
      </w:pPr>
      <w:r>
        <w:lastRenderedPageBreak/>
        <w:t xml:space="preserve">The </w:t>
      </w:r>
      <w:r w:rsidR="002A53A0">
        <w:t>radiation-producing equipment should be</w:t>
      </w:r>
      <w:r w:rsidR="00DD6366">
        <w:t xml:space="preserve"> </w:t>
      </w:r>
      <w:r w:rsidR="002A53A0">
        <w:t>fitted</w:t>
      </w:r>
      <w:r w:rsidR="00DD6366">
        <w:t xml:space="preserve"> with many radiation protection features. Understanding these features is the most important step to ensure radiation safety. </w:t>
      </w:r>
      <w:r w:rsidR="002A53A0">
        <w:t xml:space="preserve">Note that the list below includes most safety features and that some equipment may not be fitted with all of these. </w:t>
      </w:r>
    </w:p>
    <w:p w14:paraId="6FA3A502" w14:textId="58CB3D53" w:rsidR="0060058E" w:rsidRPr="0060058E" w:rsidRDefault="00DD6366" w:rsidP="00961A1A">
      <w:pPr>
        <w:pStyle w:val="ListParagraph"/>
        <w:numPr>
          <w:ilvl w:val="0"/>
          <w:numId w:val="10"/>
        </w:numPr>
        <w:jc w:val="both"/>
        <w:rPr>
          <w:b/>
          <w:bCs/>
        </w:rPr>
      </w:pPr>
      <w:r>
        <w:t xml:space="preserve">X-ray tube housing - </w:t>
      </w:r>
      <w:r w:rsidR="002A1DC3">
        <w:t>The</w:t>
      </w:r>
      <w:r>
        <w:t xml:space="preserve"> </w:t>
      </w:r>
      <w:r w:rsidR="00961A1A">
        <w:t>x</w:t>
      </w:r>
      <w:r>
        <w:t>-ray tube is enclosed in a tube housing that cannot be fractured or deformed by normal use, accidental impact or misuse.</w:t>
      </w:r>
    </w:p>
    <w:p w14:paraId="5C94C16C" w14:textId="461B678E" w:rsidR="0060058E" w:rsidRPr="000D0040" w:rsidRDefault="0060058E" w:rsidP="00FB7BE6">
      <w:pPr>
        <w:pStyle w:val="ListParagraph"/>
        <w:numPr>
          <w:ilvl w:val="0"/>
          <w:numId w:val="10"/>
        </w:numPr>
        <w:jc w:val="both"/>
        <w:rPr>
          <w:b/>
          <w:bCs/>
        </w:rPr>
      </w:pPr>
      <w:r w:rsidRPr="000D0040">
        <w:t xml:space="preserve">X-ray energized warning indicator (light) - indicates when the </w:t>
      </w:r>
      <w:r w:rsidR="00961A1A">
        <w:t>x</w:t>
      </w:r>
      <w:r w:rsidRPr="000D0040">
        <w:t xml:space="preserve">-ray tube is in operation and </w:t>
      </w:r>
      <w:r w:rsidR="00961A1A">
        <w:t>x</w:t>
      </w:r>
      <w:r w:rsidRPr="000D0040">
        <w:t>-rays are generated</w:t>
      </w:r>
      <w:r w:rsidR="00961A1A">
        <w:t xml:space="preserve"> and emitted in the chamber/enclosure</w:t>
      </w:r>
      <w:r w:rsidR="00FB7BE6">
        <w:t>.</w:t>
      </w:r>
      <w:r w:rsidRPr="000D0040">
        <w:t xml:space="preserve"> </w:t>
      </w:r>
    </w:p>
    <w:p w14:paraId="2600D9C4" w14:textId="592DEFC9" w:rsidR="00104E0B" w:rsidRPr="00104E0B" w:rsidRDefault="00104E0B" w:rsidP="00925D0E">
      <w:pPr>
        <w:pStyle w:val="ListParagraph"/>
        <w:numPr>
          <w:ilvl w:val="0"/>
          <w:numId w:val="10"/>
        </w:numPr>
        <w:jc w:val="both"/>
      </w:pPr>
      <w:r w:rsidRPr="00104E0B">
        <w:t>Key operated system – the system can be disable by removing the key.</w:t>
      </w:r>
    </w:p>
    <w:p w14:paraId="04EE63DA" w14:textId="645A98F7" w:rsidR="00961A1A" w:rsidRPr="00DD6366" w:rsidRDefault="00961A1A" w:rsidP="000A1401">
      <w:pPr>
        <w:pStyle w:val="ListParagraph"/>
        <w:numPr>
          <w:ilvl w:val="0"/>
          <w:numId w:val="10"/>
        </w:numPr>
        <w:jc w:val="both"/>
        <w:rPr>
          <w:b/>
          <w:bCs/>
        </w:rPr>
      </w:pPr>
      <w:r>
        <w:t>Enclosure - It houses the animal</w:t>
      </w:r>
      <w:r w:rsidR="000A1401">
        <w:t>s or samples</w:t>
      </w:r>
      <w:r>
        <w:t xml:space="preserve"> and prevents accessing the primary x-ray beam. The enclosure is constructed of appropriate materials (e.g. steel, lead, lead glass, etc.) to attenuate x-ray radiation during operation. </w:t>
      </w:r>
    </w:p>
    <w:p w14:paraId="447DDB25" w14:textId="789E10E5" w:rsidR="00DD6366" w:rsidRPr="00DD6366" w:rsidRDefault="00DD6366" w:rsidP="00961A1A">
      <w:pPr>
        <w:pStyle w:val="ListParagraph"/>
        <w:numPr>
          <w:ilvl w:val="0"/>
          <w:numId w:val="10"/>
        </w:numPr>
        <w:jc w:val="both"/>
        <w:rPr>
          <w:b/>
          <w:bCs/>
        </w:rPr>
      </w:pPr>
      <w:r w:rsidRPr="00104E0B">
        <w:t xml:space="preserve">Interlocks - </w:t>
      </w:r>
      <w:r w:rsidR="00553776" w:rsidRPr="00104E0B">
        <w:t>S</w:t>
      </w:r>
      <w:r w:rsidR="00BC56F8" w:rsidRPr="00104E0B">
        <w:t xml:space="preserve">afety interlocks </w:t>
      </w:r>
      <w:r w:rsidR="00553776" w:rsidRPr="00104E0B">
        <w:t xml:space="preserve">microswitches are fitted on the </w:t>
      </w:r>
      <w:r w:rsidR="00961A1A">
        <w:t>irradiator</w:t>
      </w:r>
      <w:r w:rsidR="00553776">
        <w:t xml:space="preserve"> to </w:t>
      </w:r>
      <w:r w:rsidR="00BC56F8">
        <w:t xml:space="preserve">ensure that users cannot be exposed to a primary or diffracted beam of </w:t>
      </w:r>
      <w:r w:rsidR="00961A1A">
        <w:t>x</w:t>
      </w:r>
      <w:r w:rsidR="00BC56F8">
        <w:t xml:space="preserve">-ray radiation. </w:t>
      </w:r>
      <w:r w:rsidR="00553776">
        <w:t xml:space="preserve">Any attempt to open the chamber/enclosure, when the </w:t>
      </w:r>
      <w:r w:rsidR="00961A1A">
        <w:t>x-ray tube generates x-rays</w:t>
      </w:r>
      <w:r w:rsidR="00553776">
        <w:t xml:space="preserve">, will lead to the system being de-energized immediately. </w:t>
      </w:r>
      <w:r w:rsidR="00BC56F8">
        <w:t xml:space="preserve">Users shall not operate the </w:t>
      </w:r>
      <w:r w:rsidR="00961A1A">
        <w:t>irradiator</w:t>
      </w:r>
      <w:r w:rsidR="00BC56F8">
        <w:t xml:space="preserve"> when the safety interlock</w:t>
      </w:r>
      <w:r w:rsidR="00553776">
        <w:t>s</w:t>
      </w:r>
      <w:r w:rsidR="00BC56F8">
        <w:t xml:space="preserve"> ha</w:t>
      </w:r>
      <w:r w:rsidR="00553776">
        <w:t>ve</w:t>
      </w:r>
      <w:r w:rsidR="00BC56F8">
        <w:t xml:space="preserve"> been </w:t>
      </w:r>
      <w:r w:rsidR="002C7C9F">
        <w:t>disabled</w:t>
      </w:r>
      <w:r w:rsidR="00AD43ED">
        <w:t xml:space="preserve"> unless they have been trained to do so</w:t>
      </w:r>
      <w:r w:rsidR="00BC56F8">
        <w:t>.</w:t>
      </w:r>
    </w:p>
    <w:p w14:paraId="27AE9652" w14:textId="0C508467" w:rsidR="00DD6366" w:rsidRPr="00DD6366" w:rsidRDefault="00DD6366" w:rsidP="007D73A0">
      <w:pPr>
        <w:pStyle w:val="ListParagraph"/>
        <w:numPr>
          <w:ilvl w:val="0"/>
          <w:numId w:val="10"/>
        </w:numPr>
        <w:jc w:val="both"/>
        <w:rPr>
          <w:b/>
          <w:bCs/>
        </w:rPr>
      </w:pPr>
      <w:r>
        <w:t xml:space="preserve">Push-off button (Red Push Button) </w:t>
      </w:r>
      <w:r w:rsidR="00961A1A">
        <w:t>–</w:t>
      </w:r>
      <w:r>
        <w:t xml:space="preserve"> </w:t>
      </w:r>
      <w:r w:rsidR="00961A1A">
        <w:t xml:space="preserve">the </w:t>
      </w:r>
      <w:r w:rsidR="007D73A0">
        <w:t>radiation-producing equipment may be</w:t>
      </w:r>
      <w:r w:rsidR="00961A1A">
        <w:t xml:space="preserve"> equipped with</w:t>
      </w:r>
      <w:r>
        <w:t xml:space="preserve"> push-off button</w:t>
      </w:r>
      <w:r w:rsidR="00961A1A">
        <w:t>s</w:t>
      </w:r>
      <w:r>
        <w:t xml:space="preserve"> </w:t>
      </w:r>
      <w:r w:rsidR="00553776">
        <w:t xml:space="preserve">to shut down </w:t>
      </w:r>
      <w:r w:rsidR="00961A1A">
        <w:t xml:space="preserve">the </w:t>
      </w:r>
      <w:r w:rsidR="00553776">
        <w:t>electric power. This button is</w:t>
      </w:r>
      <w:r w:rsidR="0060058E">
        <w:t xml:space="preserve"> typically</w:t>
      </w:r>
      <w:r w:rsidR="00553776">
        <w:t xml:space="preserve"> Red and should be</w:t>
      </w:r>
      <w:r>
        <w:t xml:space="preserve"> labeled with “</w:t>
      </w:r>
      <w:r w:rsidR="00961A1A">
        <w:t>Emergency Stop</w:t>
      </w:r>
      <w:r>
        <w:t xml:space="preserve">”. Users should know its location and </w:t>
      </w:r>
      <w:r w:rsidR="002C7C9F">
        <w:t xml:space="preserve">must </w:t>
      </w:r>
      <w:r>
        <w:t>only be used i</w:t>
      </w:r>
      <w:r w:rsidR="0060058E">
        <w:t>t i</w:t>
      </w:r>
      <w:r>
        <w:t>n case of emergency.</w:t>
      </w:r>
    </w:p>
    <w:p w14:paraId="21B4FFBB" w14:textId="5F31317F" w:rsidR="002F648A" w:rsidRPr="002F648A" w:rsidRDefault="00DD6366" w:rsidP="00961A1A">
      <w:pPr>
        <w:pStyle w:val="ListParagraph"/>
        <w:numPr>
          <w:ilvl w:val="0"/>
          <w:numId w:val="10"/>
        </w:numPr>
        <w:jc w:val="both"/>
        <w:rPr>
          <w:b/>
          <w:bCs/>
        </w:rPr>
      </w:pPr>
      <w:r>
        <w:t xml:space="preserve">Service/disruption Notice – When </w:t>
      </w:r>
      <w:r w:rsidR="002C7C9F">
        <w:t xml:space="preserve">a </w:t>
      </w:r>
      <w:r>
        <w:t xml:space="preserve">user finds a problem of operation or safety, </w:t>
      </w:r>
      <w:r w:rsidR="00AD43ED">
        <w:t xml:space="preserve">he/she must </w:t>
      </w:r>
      <w:r>
        <w:t xml:space="preserve">shut down the unit, put </w:t>
      </w:r>
      <w:r w:rsidR="002F648A">
        <w:t>a not</w:t>
      </w:r>
      <w:r w:rsidR="0042557F">
        <w:t>ice</w:t>
      </w:r>
      <w:r>
        <w:t xml:space="preserve"> in front of the unit and then inform </w:t>
      </w:r>
      <w:r w:rsidR="002C7C9F">
        <w:t xml:space="preserve">the </w:t>
      </w:r>
      <w:r w:rsidR="0060058E">
        <w:t>LSR</w:t>
      </w:r>
      <w:r>
        <w:t xml:space="preserve"> or PI. When user</w:t>
      </w:r>
      <w:r w:rsidR="002F648A">
        <w:t>s</w:t>
      </w:r>
      <w:r>
        <w:t xml:space="preserve"> find a </w:t>
      </w:r>
      <w:r w:rsidR="00961A1A">
        <w:t xml:space="preserve">warning </w:t>
      </w:r>
      <w:r>
        <w:t xml:space="preserve">notice has been placed </w:t>
      </w:r>
      <w:r w:rsidR="0042557F">
        <w:t xml:space="preserve">on </w:t>
      </w:r>
      <w:r w:rsidR="00961A1A">
        <w:t>the irradiator</w:t>
      </w:r>
      <w:r>
        <w:t xml:space="preserve">, </w:t>
      </w:r>
      <w:r w:rsidR="0042557F">
        <w:t xml:space="preserve">DO NOT </w:t>
      </w:r>
      <w:r>
        <w:t xml:space="preserve">use that unit until you </w:t>
      </w:r>
      <w:r w:rsidRPr="0060058E">
        <w:t>a</w:t>
      </w:r>
      <w:r w:rsidR="002F648A" w:rsidRPr="0060058E">
        <w:t>re told it is safe to use</w:t>
      </w:r>
      <w:r w:rsidR="00CF6B0C">
        <w:t xml:space="preserve"> by the LSR</w:t>
      </w:r>
      <w:r w:rsidR="00CF31CE">
        <w:t>, PI</w:t>
      </w:r>
      <w:r w:rsidR="00CF6B0C">
        <w:t xml:space="preserve"> and/or RSO</w:t>
      </w:r>
      <w:r w:rsidR="002F648A">
        <w:t>.</w:t>
      </w:r>
      <w:r>
        <w:t xml:space="preserve"> </w:t>
      </w:r>
    </w:p>
    <w:p w14:paraId="7DE25941" w14:textId="3A856EAB" w:rsidR="00925D0E" w:rsidRDefault="00AD43ED" w:rsidP="002A1DC3">
      <w:pPr>
        <w:pStyle w:val="ListParagraph"/>
        <w:numPr>
          <w:ilvl w:val="0"/>
          <w:numId w:val="10"/>
        </w:numPr>
        <w:jc w:val="both"/>
      </w:pPr>
      <w:r>
        <w:t xml:space="preserve">Shielding </w:t>
      </w:r>
      <w:r w:rsidR="00A0144B">
        <w:t>integrity</w:t>
      </w:r>
      <w:r w:rsidR="00925D0E">
        <w:t xml:space="preserve"> and inspection of the equipment is carried o</w:t>
      </w:r>
      <w:r w:rsidR="0060058E">
        <w:t>ut on a yearly basis or whenever required (e.g. after maintenance, etc</w:t>
      </w:r>
      <w:r w:rsidR="002A1DC3">
        <w:t>.</w:t>
      </w:r>
      <w:r w:rsidR="0060058E">
        <w:t>)</w:t>
      </w:r>
      <w:r w:rsidR="00925D0E">
        <w:t>. Records of the results are kept on file.</w:t>
      </w:r>
    </w:p>
    <w:p w14:paraId="47F27678" w14:textId="5AFC42B0" w:rsidR="00961A1A" w:rsidRDefault="00961A1A" w:rsidP="007D73A0">
      <w:pPr>
        <w:pStyle w:val="ListParagraph"/>
        <w:numPr>
          <w:ilvl w:val="0"/>
          <w:numId w:val="10"/>
        </w:numPr>
        <w:jc w:val="both"/>
      </w:pPr>
      <w:r>
        <w:t>Maintenance – Regular maintenance of the system by KAUST staff and</w:t>
      </w:r>
      <w:r w:rsidR="0085682C">
        <w:t>/or</w:t>
      </w:r>
      <w:r>
        <w:t xml:space="preserve"> manufacturer’s service engineers ensure that the </w:t>
      </w:r>
      <w:r w:rsidR="007D73A0">
        <w:t>radiation-producing equipment</w:t>
      </w:r>
      <w:r>
        <w:t xml:space="preserve"> operates safely. </w:t>
      </w:r>
    </w:p>
    <w:p w14:paraId="24D6E335" w14:textId="77777777" w:rsidR="00BC55C0" w:rsidRPr="00BC55C0" w:rsidRDefault="00BC55C0" w:rsidP="00BC55C0">
      <w:pPr>
        <w:pStyle w:val="ListParagraph"/>
        <w:numPr>
          <w:ilvl w:val="0"/>
          <w:numId w:val="10"/>
        </w:numPr>
        <w:jc w:val="both"/>
        <w:rPr>
          <w:color w:val="538135" w:themeColor="accent6" w:themeShade="BF"/>
        </w:rPr>
      </w:pPr>
      <w:r w:rsidRPr="00BC55C0">
        <w:rPr>
          <w:color w:val="538135" w:themeColor="accent6" w:themeShade="BF"/>
        </w:rPr>
        <w:t>Warning signs – Warning signs should be clearly displayed at the entrance of the laboratory.</w:t>
      </w:r>
    </w:p>
    <w:p w14:paraId="18C8A570" w14:textId="6E78A317" w:rsidR="003359BD" w:rsidRDefault="003359BD" w:rsidP="003359BD">
      <w:pPr>
        <w:pStyle w:val="Heading2"/>
        <w:rPr>
          <w:b/>
          <w:bCs/>
          <w:color w:val="auto"/>
        </w:rPr>
      </w:pPr>
      <w:r w:rsidRPr="003359BD">
        <w:rPr>
          <w:b/>
          <w:bCs/>
          <w:color w:val="auto"/>
        </w:rPr>
        <w:t>Systems of Work</w:t>
      </w:r>
    </w:p>
    <w:p w14:paraId="60A82C84" w14:textId="35D66A2E" w:rsidR="00BC55C0" w:rsidRDefault="00BC55C0" w:rsidP="003359BD">
      <w:pPr>
        <w:rPr>
          <w:b/>
          <w:bCs/>
          <w:u w:val="single"/>
        </w:rPr>
      </w:pPr>
      <w:r w:rsidRPr="00BC55C0">
        <w:rPr>
          <w:i/>
          <w:iCs/>
          <w:color w:val="FF0000"/>
        </w:rPr>
        <w:t>For SEM/TEM or X-ray Analysis Equipment</w:t>
      </w:r>
    </w:p>
    <w:p w14:paraId="17352FD4" w14:textId="4B1C6470" w:rsidR="003359BD" w:rsidRPr="001821C9" w:rsidRDefault="003359BD" w:rsidP="003359BD">
      <w:pPr>
        <w:rPr>
          <w:b/>
          <w:bCs/>
          <w:u w:val="single"/>
        </w:rPr>
      </w:pPr>
      <w:r w:rsidRPr="001821C9">
        <w:rPr>
          <w:b/>
          <w:bCs/>
          <w:u w:val="single"/>
        </w:rPr>
        <w:t>Access to the area</w:t>
      </w:r>
    </w:p>
    <w:p w14:paraId="616A2EBA" w14:textId="7D1C6138" w:rsidR="000F4EB3" w:rsidRDefault="000F4EB3" w:rsidP="002A53A0">
      <w:pPr>
        <w:pStyle w:val="ListParagraph"/>
        <w:numPr>
          <w:ilvl w:val="0"/>
          <w:numId w:val="21"/>
        </w:numPr>
        <w:jc w:val="both"/>
      </w:pPr>
      <w:r>
        <w:t xml:space="preserve">Access </w:t>
      </w:r>
      <w:r w:rsidR="00961A1A">
        <w:t xml:space="preserve">to the </w:t>
      </w:r>
      <w:r w:rsidR="002A53A0">
        <w:t>laboratory may be</w:t>
      </w:r>
      <w:r w:rsidR="00961A1A">
        <w:t xml:space="preserve"> restricted via card reader access</w:t>
      </w:r>
      <w:r w:rsidR="002A53A0">
        <w:t xml:space="preserve"> or pin-coded door</w:t>
      </w:r>
      <w:r w:rsidR="00961A1A">
        <w:t>;</w:t>
      </w:r>
    </w:p>
    <w:p w14:paraId="69FC8DD3" w14:textId="2CEA815E" w:rsidR="00B66C9C" w:rsidRDefault="002A53A0" w:rsidP="00FB7BE6">
      <w:pPr>
        <w:pStyle w:val="ListParagraph"/>
        <w:numPr>
          <w:ilvl w:val="0"/>
          <w:numId w:val="21"/>
        </w:numPr>
        <w:jc w:val="both"/>
      </w:pPr>
      <w:r>
        <w:t>Some equipment may have their a</w:t>
      </w:r>
      <w:r w:rsidR="00B66C9C">
        <w:t>ccess restricted via log-in code</w:t>
      </w:r>
      <w:r w:rsidR="00FB7BE6">
        <w:t>.</w:t>
      </w:r>
    </w:p>
    <w:p w14:paraId="1A0D704D" w14:textId="77777777" w:rsidR="000D0040" w:rsidRDefault="000D0040" w:rsidP="003359BD">
      <w:pPr>
        <w:rPr>
          <w:b/>
          <w:bCs/>
          <w:u w:val="single"/>
        </w:rPr>
      </w:pPr>
    </w:p>
    <w:p w14:paraId="2515A9B6" w14:textId="72C54CC6" w:rsidR="003359BD" w:rsidRPr="0042557F" w:rsidRDefault="003359BD" w:rsidP="003359BD">
      <w:pPr>
        <w:rPr>
          <w:b/>
          <w:bCs/>
          <w:u w:val="single"/>
        </w:rPr>
      </w:pPr>
      <w:r w:rsidRPr="0042557F">
        <w:rPr>
          <w:b/>
          <w:bCs/>
          <w:u w:val="single"/>
        </w:rPr>
        <w:t>Protection of staff and visitors</w:t>
      </w:r>
    </w:p>
    <w:p w14:paraId="2F81734B" w14:textId="599F94F7" w:rsidR="001821C9" w:rsidRDefault="001821C9" w:rsidP="002A53A0">
      <w:pPr>
        <w:pStyle w:val="ListParagraph"/>
        <w:numPr>
          <w:ilvl w:val="0"/>
          <w:numId w:val="23"/>
        </w:numPr>
      </w:pPr>
      <w:r w:rsidRPr="001821C9">
        <w:t>Only authori</w:t>
      </w:r>
      <w:r>
        <w:t>z</w:t>
      </w:r>
      <w:r w:rsidRPr="001821C9">
        <w:t xml:space="preserve">ed </w:t>
      </w:r>
      <w:r>
        <w:t>users</w:t>
      </w:r>
      <w:r w:rsidRPr="001821C9">
        <w:t xml:space="preserve"> may operate</w:t>
      </w:r>
      <w:r>
        <w:t xml:space="preserve"> the </w:t>
      </w:r>
      <w:r w:rsidR="002A53A0">
        <w:t>radiation-producing equipment</w:t>
      </w:r>
      <w:r w:rsidR="0073373C">
        <w:t>;</w:t>
      </w:r>
    </w:p>
    <w:p w14:paraId="27C1DBA4" w14:textId="146AA9AE" w:rsidR="000F4EB3" w:rsidRPr="001821C9" w:rsidRDefault="000F4EB3" w:rsidP="0085682C">
      <w:pPr>
        <w:pStyle w:val="ListParagraph"/>
        <w:numPr>
          <w:ilvl w:val="0"/>
          <w:numId w:val="23"/>
        </w:numPr>
        <w:jc w:val="both"/>
      </w:pPr>
      <w:r>
        <w:t xml:space="preserve">The person operating the </w:t>
      </w:r>
      <w:r w:rsidR="0085682C">
        <w:t>radiation producing equipment</w:t>
      </w:r>
      <w:r>
        <w:t xml:space="preserve"> is responsible for the safety of others who work in the area</w:t>
      </w:r>
      <w:r w:rsidR="0073373C">
        <w:t>;</w:t>
      </w:r>
      <w:r>
        <w:t xml:space="preserve"> </w:t>
      </w:r>
    </w:p>
    <w:p w14:paraId="0DA76E1B" w14:textId="4D11633C" w:rsidR="0042557F" w:rsidRPr="001821C9" w:rsidRDefault="0042557F" w:rsidP="0073373C">
      <w:pPr>
        <w:pStyle w:val="ListParagraph"/>
        <w:numPr>
          <w:ilvl w:val="0"/>
          <w:numId w:val="23"/>
        </w:numPr>
      </w:pPr>
      <w:r>
        <w:t>When entering the room follow the lab safety plans policy toward PPE use</w:t>
      </w:r>
      <w:r w:rsidR="0073373C">
        <w:t>;</w:t>
      </w:r>
    </w:p>
    <w:p w14:paraId="30159710" w14:textId="2FDB956E" w:rsidR="001821C9" w:rsidRPr="001821C9" w:rsidRDefault="002A53A0" w:rsidP="002A53A0">
      <w:pPr>
        <w:pStyle w:val="ListParagraph"/>
        <w:numPr>
          <w:ilvl w:val="0"/>
          <w:numId w:val="23"/>
        </w:numPr>
      </w:pPr>
      <w:r>
        <w:t>User</w:t>
      </w:r>
      <w:r w:rsidR="001821C9" w:rsidRPr="001821C9">
        <w:t xml:space="preserve">s </w:t>
      </w:r>
      <w:r w:rsidR="00A717FA">
        <w:t>MUST</w:t>
      </w:r>
      <w:r w:rsidR="00A717FA" w:rsidRPr="001821C9">
        <w:t xml:space="preserve"> </w:t>
      </w:r>
      <w:r w:rsidR="001821C9" w:rsidRPr="001821C9">
        <w:t xml:space="preserve">NOT </w:t>
      </w:r>
      <w:r w:rsidR="001821C9">
        <w:t xml:space="preserve">defeat the safety interlock and </w:t>
      </w:r>
      <w:r w:rsidR="001821C9" w:rsidRPr="001821C9">
        <w:t>expose themselves or any other person to radiation</w:t>
      </w:r>
      <w:r w:rsidR="0073373C">
        <w:t>;</w:t>
      </w:r>
    </w:p>
    <w:p w14:paraId="75605A95" w14:textId="29FD2BE4" w:rsidR="001821C9" w:rsidRPr="001821C9" w:rsidRDefault="001821C9" w:rsidP="00AD43ED">
      <w:pPr>
        <w:pStyle w:val="ListParagraph"/>
        <w:numPr>
          <w:ilvl w:val="0"/>
          <w:numId w:val="23"/>
        </w:numPr>
      </w:pPr>
      <w:r w:rsidRPr="001821C9">
        <w:lastRenderedPageBreak/>
        <w:t>If you are pregnant</w:t>
      </w:r>
      <w:r w:rsidR="00FB7BE6">
        <w:t>, then</w:t>
      </w:r>
      <w:r w:rsidRPr="001821C9">
        <w:t xml:space="preserve"> you are encouraged to notify the </w:t>
      </w:r>
      <w:r w:rsidR="00AD43ED">
        <w:t>RSO</w:t>
      </w:r>
      <w:r>
        <w:t>,</w:t>
      </w:r>
      <w:r w:rsidRPr="001821C9">
        <w:t xml:space="preserve"> </w:t>
      </w:r>
      <w:r w:rsidR="00236621">
        <w:t>in confidence</w:t>
      </w:r>
      <w:r w:rsidRPr="001821C9">
        <w:t xml:space="preserve">. </w:t>
      </w:r>
    </w:p>
    <w:p w14:paraId="0C80061C" w14:textId="4A6492C5" w:rsidR="001821C9" w:rsidRDefault="001821C9" w:rsidP="00AD43ED">
      <w:pPr>
        <w:pStyle w:val="ListParagraph"/>
        <w:numPr>
          <w:ilvl w:val="0"/>
          <w:numId w:val="23"/>
        </w:numPr>
      </w:pPr>
      <w:r w:rsidRPr="001821C9">
        <w:t xml:space="preserve">Notify the </w:t>
      </w:r>
      <w:r w:rsidR="0060058E">
        <w:t>LSR</w:t>
      </w:r>
      <w:r>
        <w:t xml:space="preserve">, PI and </w:t>
      </w:r>
      <w:r w:rsidR="00AD43ED">
        <w:t>RSO</w:t>
      </w:r>
      <w:r w:rsidRPr="001821C9">
        <w:t xml:space="preserve"> immediately if there is any reason to believe that any person may have been exposed to radiation accidentally.</w:t>
      </w:r>
    </w:p>
    <w:p w14:paraId="7DB43801" w14:textId="585CD616" w:rsidR="00BC55C0" w:rsidRPr="00BC55C0" w:rsidRDefault="00BC55C0" w:rsidP="00FB7BE6">
      <w:pPr>
        <w:rPr>
          <w:i/>
          <w:iCs/>
          <w:color w:val="FF0000"/>
        </w:rPr>
      </w:pPr>
      <w:r w:rsidRPr="00BC55C0">
        <w:rPr>
          <w:i/>
          <w:iCs/>
          <w:color w:val="FF0000"/>
        </w:rPr>
        <w:t>For CT/Irradiator</w:t>
      </w:r>
      <w:r>
        <w:rPr>
          <w:i/>
          <w:iCs/>
          <w:color w:val="FF0000"/>
        </w:rPr>
        <w:t xml:space="preserve"> – use the one that appl</w:t>
      </w:r>
      <w:r w:rsidR="00FB7BE6">
        <w:rPr>
          <w:i/>
          <w:iCs/>
          <w:color w:val="FF0000"/>
        </w:rPr>
        <w:t>ies</w:t>
      </w:r>
      <w:r>
        <w:rPr>
          <w:i/>
          <w:iCs/>
          <w:color w:val="FF0000"/>
        </w:rPr>
        <w:t xml:space="preserve"> and add points that are not included</w:t>
      </w:r>
      <w:r w:rsidR="00FB7BE6">
        <w:rPr>
          <w:i/>
          <w:iCs/>
          <w:color w:val="FF0000"/>
        </w:rPr>
        <w:t>.</w:t>
      </w:r>
    </w:p>
    <w:p w14:paraId="7A398FD6" w14:textId="77777777" w:rsidR="00BC55C0" w:rsidRPr="00BC55C0" w:rsidRDefault="00BC55C0" w:rsidP="00BC55C0">
      <w:pPr>
        <w:rPr>
          <w:b/>
          <w:bCs/>
          <w:color w:val="538135" w:themeColor="accent6" w:themeShade="BF"/>
          <w:u w:val="single"/>
        </w:rPr>
      </w:pPr>
      <w:r w:rsidRPr="00BC55C0">
        <w:rPr>
          <w:b/>
          <w:bCs/>
          <w:color w:val="538135" w:themeColor="accent6" w:themeShade="BF"/>
          <w:u w:val="single"/>
        </w:rPr>
        <w:t>Access to the area</w:t>
      </w:r>
    </w:p>
    <w:p w14:paraId="0D4FF30A" w14:textId="77777777" w:rsidR="00BC55C0" w:rsidRPr="00BC55C0" w:rsidRDefault="00BC55C0" w:rsidP="00BC55C0">
      <w:pPr>
        <w:pStyle w:val="ListParagraph"/>
        <w:numPr>
          <w:ilvl w:val="0"/>
          <w:numId w:val="21"/>
        </w:numPr>
        <w:jc w:val="both"/>
        <w:rPr>
          <w:color w:val="538135" w:themeColor="accent6" w:themeShade="BF"/>
          <w:szCs w:val="24"/>
        </w:rPr>
      </w:pPr>
      <w:r w:rsidRPr="00BC55C0">
        <w:rPr>
          <w:color w:val="538135" w:themeColor="accent6" w:themeShade="BF"/>
        </w:rPr>
        <w:t>All persons must observe notices at the entrance to the Supervised Area;</w:t>
      </w:r>
    </w:p>
    <w:p w14:paraId="4F2B887F" w14:textId="77777777" w:rsidR="00BC55C0" w:rsidRPr="00BC55C0" w:rsidRDefault="00BC55C0" w:rsidP="00BC55C0">
      <w:pPr>
        <w:pStyle w:val="ListParagraph"/>
        <w:numPr>
          <w:ilvl w:val="0"/>
          <w:numId w:val="21"/>
        </w:numPr>
        <w:jc w:val="both"/>
        <w:rPr>
          <w:color w:val="538135" w:themeColor="accent6" w:themeShade="BF"/>
        </w:rPr>
      </w:pPr>
      <w:r w:rsidRPr="00BC55C0">
        <w:rPr>
          <w:color w:val="538135" w:themeColor="accent6" w:themeShade="BF"/>
        </w:rPr>
        <w:t xml:space="preserve">Access to the laboratory is restricted via the use of pin-coded doors; </w:t>
      </w:r>
    </w:p>
    <w:p w14:paraId="54203D03" w14:textId="77777777" w:rsidR="00BC55C0" w:rsidRPr="00BC55C0" w:rsidRDefault="00BC55C0" w:rsidP="00BC55C0">
      <w:pPr>
        <w:pStyle w:val="ListParagraph"/>
        <w:numPr>
          <w:ilvl w:val="0"/>
          <w:numId w:val="21"/>
        </w:numPr>
        <w:jc w:val="both"/>
        <w:rPr>
          <w:color w:val="538135" w:themeColor="accent6" w:themeShade="BF"/>
          <w:szCs w:val="24"/>
        </w:rPr>
      </w:pPr>
      <w:r w:rsidRPr="00BC55C0">
        <w:rPr>
          <w:color w:val="538135" w:themeColor="accent6" w:themeShade="BF"/>
        </w:rPr>
        <w:t>Service engineers external to KAUST should be asked to sign the handover form before they start work, and again before they leave. They are then operating the CT scanner under the Local Rules prepared by their company.</w:t>
      </w:r>
    </w:p>
    <w:p w14:paraId="73D183DD" w14:textId="77777777" w:rsidR="00BC55C0" w:rsidRPr="00BC55C0" w:rsidRDefault="00BC55C0" w:rsidP="00BC55C0">
      <w:pPr>
        <w:pStyle w:val="ListParagraph"/>
        <w:jc w:val="both"/>
        <w:rPr>
          <w:color w:val="538135" w:themeColor="accent6" w:themeShade="BF"/>
          <w:szCs w:val="24"/>
        </w:rPr>
      </w:pPr>
    </w:p>
    <w:p w14:paraId="47BCA514" w14:textId="77777777" w:rsidR="00BC55C0" w:rsidRPr="00BC55C0" w:rsidRDefault="00BC55C0" w:rsidP="00BC55C0">
      <w:pPr>
        <w:rPr>
          <w:b/>
          <w:bCs/>
          <w:color w:val="538135" w:themeColor="accent6" w:themeShade="BF"/>
          <w:u w:val="single"/>
        </w:rPr>
      </w:pPr>
      <w:r w:rsidRPr="00BC55C0">
        <w:rPr>
          <w:b/>
          <w:bCs/>
          <w:color w:val="538135" w:themeColor="accent6" w:themeShade="BF"/>
          <w:u w:val="single"/>
        </w:rPr>
        <w:t>Protection of staff and visitors</w:t>
      </w:r>
    </w:p>
    <w:p w14:paraId="2B15CA68" w14:textId="018CF398" w:rsidR="00BC55C0" w:rsidRPr="00BC55C0" w:rsidRDefault="00BC55C0" w:rsidP="00BC55C0">
      <w:pPr>
        <w:pStyle w:val="ListParagraph"/>
        <w:numPr>
          <w:ilvl w:val="0"/>
          <w:numId w:val="23"/>
        </w:numPr>
        <w:rPr>
          <w:color w:val="538135" w:themeColor="accent6" w:themeShade="BF"/>
        </w:rPr>
      </w:pPr>
      <w:r w:rsidRPr="00BC55C0">
        <w:rPr>
          <w:color w:val="538135" w:themeColor="accent6" w:themeShade="BF"/>
        </w:rPr>
        <w:t xml:space="preserve">Only authorized users may operate the </w:t>
      </w:r>
      <w:r>
        <w:rPr>
          <w:color w:val="538135" w:themeColor="accent6" w:themeShade="BF"/>
        </w:rPr>
        <w:t>#######</w:t>
      </w:r>
      <w:r w:rsidRPr="00BC55C0">
        <w:rPr>
          <w:color w:val="538135" w:themeColor="accent6" w:themeShade="BF"/>
        </w:rPr>
        <w:t>;</w:t>
      </w:r>
    </w:p>
    <w:p w14:paraId="7E02BEF6" w14:textId="4F41A638" w:rsidR="00BC55C0" w:rsidRPr="00BC55C0" w:rsidRDefault="00BC55C0" w:rsidP="00BC55C0">
      <w:pPr>
        <w:pStyle w:val="ListParagraph"/>
        <w:numPr>
          <w:ilvl w:val="0"/>
          <w:numId w:val="23"/>
        </w:numPr>
        <w:jc w:val="both"/>
        <w:rPr>
          <w:color w:val="538135" w:themeColor="accent6" w:themeShade="BF"/>
        </w:rPr>
      </w:pPr>
      <w:r w:rsidRPr="00BC55C0">
        <w:rPr>
          <w:color w:val="538135" w:themeColor="accent6" w:themeShade="BF"/>
        </w:rPr>
        <w:t xml:space="preserve">The person operating the </w:t>
      </w:r>
      <w:r>
        <w:rPr>
          <w:color w:val="538135" w:themeColor="accent6" w:themeShade="BF"/>
        </w:rPr>
        <w:t>###</w:t>
      </w:r>
      <w:r w:rsidRPr="00BC55C0">
        <w:rPr>
          <w:color w:val="538135" w:themeColor="accent6" w:themeShade="BF"/>
        </w:rPr>
        <w:t xml:space="preserve"> is responsible for the safety of others who work in the area; </w:t>
      </w:r>
    </w:p>
    <w:p w14:paraId="4A64D2A3" w14:textId="77777777" w:rsidR="00BC55C0" w:rsidRPr="00BC55C0" w:rsidRDefault="00BC55C0" w:rsidP="00BC55C0">
      <w:pPr>
        <w:pStyle w:val="ListParagraph"/>
        <w:numPr>
          <w:ilvl w:val="0"/>
          <w:numId w:val="23"/>
        </w:numPr>
        <w:rPr>
          <w:color w:val="538135" w:themeColor="accent6" w:themeShade="BF"/>
        </w:rPr>
      </w:pPr>
      <w:r w:rsidRPr="00BC55C0">
        <w:rPr>
          <w:color w:val="538135" w:themeColor="accent6" w:themeShade="BF"/>
        </w:rPr>
        <w:t>Take note of all warning signs before entering the room;</w:t>
      </w:r>
    </w:p>
    <w:p w14:paraId="18F18704" w14:textId="77777777" w:rsidR="00BC55C0" w:rsidRPr="00BC55C0" w:rsidRDefault="00BC55C0" w:rsidP="00BC55C0">
      <w:pPr>
        <w:pStyle w:val="ListParagraph"/>
        <w:numPr>
          <w:ilvl w:val="0"/>
          <w:numId w:val="23"/>
        </w:numPr>
        <w:rPr>
          <w:color w:val="538135" w:themeColor="accent6" w:themeShade="BF"/>
        </w:rPr>
      </w:pPr>
      <w:r w:rsidRPr="00BC55C0">
        <w:rPr>
          <w:color w:val="538135" w:themeColor="accent6" w:themeShade="BF"/>
        </w:rPr>
        <w:t>When entering the room follow the lab safety plans policy toward PPE use;</w:t>
      </w:r>
    </w:p>
    <w:p w14:paraId="04D56917" w14:textId="77777777" w:rsidR="00BC55C0" w:rsidRPr="00BC55C0" w:rsidRDefault="00BC55C0" w:rsidP="00BC55C0">
      <w:pPr>
        <w:pStyle w:val="ListParagraph"/>
        <w:numPr>
          <w:ilvl w:val="0"/>
          <w:numId w:val="23"/>
        </w:numPr>
        <w:rPr>
          <w:color w:val="538135" w:themeColor="accent6" w:themeShade="BF"/>
        </w:rPr>
      </w:pPr>
      <w:r w:rsidRPr="00BC55C0">
        <w:rPr>
          <w:color w:val="538135" w:themeColor="accent6" w:themeShade="BF"/>
        </w:rPr>
        <w:t>Users MUST NOT defeat the safety interlock and expose themselves or any other person to radiation;</w:t>
      </w:r>
    </w:p>
    <w:p w14:paraId="0A2D5985" w14:textId="7DB917C9" w:rsidR="00BC55C0" w:rsidRPr="00BC55C0" w:rsidRDefault="00BC55C0" w:rsidP="00BC55C0">
      <w:pPr>
        <w:pStyle w:val="ListParagraph"/>
        <w:numPr>
          <w:ilvl w:val="0"/>
          <w:numId w:val="23"/>
        </w:numPr>
        <w:rPr>
          <w:color w:val="538135" w:themeColor="accent6" w:themeShade="BF"/>
        </w:rPr>
      </w:pPr>
      <w:r w:rsidRPr="00BC55C0">
        <w:rPr>
          <w:color w:val="538135" w:themeColor="accent6" w:themeShade="BF"/>
        </w:rPr>
        <w:t xml:space="preserve">All authorized users must wear all personal dosimeters issued to them at all times when operating the </w:t>
      </w:r>
      <w:r>
        <w:rPr>
          <w:color w:val="538135" w:themeColor="accent6" w:themeShade="BF"/>
        </w:rPr>
        <w:t>#####</w:t>
      </w:r>
      <w:r w:rsidRPr="00BC55C0">
        <w:rPr>
          <w:color w:val="538135" w:themeColor="accent6" w:themeShade="BF"/>
        </w:rPr>
        <w:t>;</w:t>
      </w:r>
    </w:p>
    <w:p w14:paraId="08D005B5" w14:textId="77777777" w:rsidR="00BC55C0" w:rsidRPr="00BC55C0" w:rsidRDefault="00BC55C0" w:rsidP="00BC55C0">
      <w:pPr>
        <w:pStyle w:val="ListParagraph"/>
        <w:numPr>
          <w:ilvl w:val="0"/>
          <w:numId w:val="23"/>
        </w:numPr>
        <w:rPr>
          <w:color w:val="538135" w:themeColor="accent6" w:themeShade="BF"/>
        </w:rPr>
      </w:pPr>
      <w:r w:rsidRPr="00BC55C0">
        <w:rPr>
          <w:color w:val="538135" w:themeColor="accent6" w:themeShade="BF"/>
        </w:rPr>
        <w:t xml:space="preserve">If you are pregnant you are encouraged to notify the RSO, in confidence; </w:t>
      </w:r>
    </w:p>
    <w:p w14:paraId="2F77A1AF" w14:textId="77777777" w:rsidR="00BC55C0" w:rsidRPr="00BC55C0" w:rsidRDefault="00BC55C0" w:rsidP="00BC55C0">
      <w:pPr>
        <w:pStyle w:val="ListParagraph"/>
        <w:numPr>
          <w:ilvl w:val="0"/>
          <w:numId w:val="23"/>
        </w:numPr>
        <w:rPr>
          <w:color w:val="538135" w:themeColor="accent6" w:themeShade="BF"/>
        </w:rPr>
      </w:pPr>
      <w:r w:rsidRPr="00BC55C0">
        <w:rPr>
          <w:color w:val="538135" w:themeColor="accent6" w:themeShade="BF"/>
        </w:rPr>
        <w:t>Notify the LSR, PI and RSO immediately if there is any reason to believe that any person may have been exposed to radiation accidentally.</w:t>
      </w:r>
    </w:p>
    <w:p w14:paraId="6EE67FE0" w14:textId="3CC56E08" w:rsidR="00F862D9" w:rsidRPr="00236621" w:rsidRDefault="00F862D9" w:rsidP="00236621">
      <w:pPr>
        <w:pStyle w:val="Heading2"/>
        <w:rPr>
          <w:rStyle w:val="Heading1Char"/>
          <w:b w:val="0"/>
          <w:bCs/>
          <w:color w:val="auto"/>
          <w:sz w:val="26"/>
          <w:szCs w:val="26"/>
        </w:rPr>
      </w:pPr>
      <w:r w:rsidRPr="00236621">
        <w:rPr>
          <w:rStyle w:val="Heading1Char"/>
          <w:bCs/>
          <w:color w:val="auto"/>
          <w:sz w:val="26"/>
          <w:szCs w:val="26"/>
        </w:rPr>
        <w:t>Standard Operating procedures</w:t>
      </w:r>
    </w:p>
    <w:p w14:paraId="2E0A568A" w14:textId="3D0C9908" w:rsidR="003549B7" w:rsidRPr="00F862D9" w:rsidRDefault="00F862D9" w:rsidP="00BC55C0">
      <w:pPr>
        <w:rPr>
          <w:rStyle w:val="Heading1Char"/>
          <w:rFonts w:asciiTheme="minorHAnsi" w:hAnsiTheme="minorHAnsi"/>
          <w:sz w:val="22"/>
          <w:szCs w:val="22"/>
        </w:rPr>
      </w:pPr>
      <w:r w:rsidRPr="00F862D9">
        <w:rPr>
          <w:rStyle w:val="Heading1Char"/>
          <w:rFonts w:asciiTheme="minorHAnsi" w:hAnsiTheme="minorHAnsi"/>
          <w:sz w:val="22"/>
          <w:szCs w:val="22"/>
        </w:rPr>
        <w:t xml:space="preserve">These can be found in a separate document that </w:t>
      </w:r>
      <w:r w:rsidR="00BC55C0">
        <w:rPr>
          <w:rStyle w:val="Heading1Char"/>
          <w:rFonts w:asciiTheme="minorHAnsi" w:hAnsiTheme="minorHAnsi"/>
          <w:sz w:val="22"/>
          <w:szCs w:val="22"/>
        </w:rPr>
        <w:t>is</w:t>
      </w:r>
      <w:r w:rsidR="00A717FA" w:rsidRPr="00F862D9">
        <w:rPr>
          <w:rStyle w:val="Heading1Char"/>
          <w:rFonts w:asciiTheme="minorHAnsi" w:hAnsiTheme="minorHAnsi"/>
          <w:sz w:val="22"/>
          <w:szCs w:val="22"/>
        </w:rPr>
        <w:t xml:space="preserve"> </w:t>
      </w:r>
      <w:r w:rsidRPr="00F862D9">
        <w:rPr>
          <w:rStyle w:val="Heading1Char"/>
          <w:rFonts w:asciiTheme="minorHAnsi" w:hAnsiTheme="minorHAnsi"/>
          <w:sz w:val="22"/>
          <w:szCs w:val="22"/>
        </w:rPr>
        <w:t>kept in the lab.</w:t>
      </w:r>
    </w:p>
    <w:p w14:paraId="09786609" w14:textId="6538706A" w:rsidR="003549B7" w:rsidRDefault="00D35C81" w:rsidP="009E27BF">
      <w:pPr>
        <w:pStyle w:val="Heading1"/>
        <w:rPr>
          <w:rStyle w:val="Heading1Char"/>
          <w:b/>
          <w:bCs/>
        </w:rPr>
      </w:pPr>
      <w:r>
        <w:rPr>
          <w:rStyle w:val="Heading1Char"/>
          <w:b/>
          <w:bCs/>
        </w:rPr>
        <w:t>E</w:t>
      </w:r>
      <w:r w:rsidR="00F862D9">
        <w:rPr>
          <w:rStyle w:val="Heading1Char"/>
          <w:b/>
          <w:bCs/>
        </w:rPr>
        <w:t>mergency Procedures</w:t>
      </w:r>
    </w:p>
    <w:p w14:paraId="2757942F" w14:textId="7C8DF9DB" w:rsidR="00BC55C0" w:rsidRPr="00BC55C0" w:rsidRDefault="00BC55C0" w:rsidP="00BC55C0">
      <w:pPr>
        <w:rPr>
          <w:color w:val="FF0000"/>
        </w:rPr>
      </w:pPr>
      <w:r>
        <w:rPr>
          <w:color w:val="FF0000"/>
        </w:rPr>
        <w:t xml:space="preserve">Use as it is for </w:t>
      </w:r>
      <w:r w:rsidRPr="00BC55C0">
        <w:rPr>
          <w:i/>
          <w:iCs/>
          <w:color w:val="FF0000"/>
        </w:rPr>
        <w:t>SEM/TEM or X-ray Analysis Equipment</w:t>
      </w:r>
      <w:r>
        <w:rPr>
          <w:i/>
          <w:iCs/>
          <w:color w:val="FF0000"/>
        </w:rPr>
        <w:t xml:space="preserve"> - For</w:t>
      </w:r>
      <w:r w:rsidRPr="00BC55C0">
        <w:rPr>
          <w:color w:val="FF0000"/>
        </w:rPr>
        <w:t xml:space="preserve"> CT/Irradiator just keep the points that apply to the device</w:t>
      </w:r>
      <w:r w:rsidR="00FB7BE6">
        <w:rPr>
          <w:color w:val="FF0000"/>
        </w:rPr>
        <w:t>.</w:t>
      </w:r>
    </w:p>
    <w:p w14:paraId="1E95C1A4" w14:textId="7D6E7B37" w:rsidR="00F862D9" w:rsidRPr="00F862D9" w:rsidRDefault="00F862D9" w:rsidP="00F862D9">
      <w:pPr>
        <w:pStyle w:val="Heading2"/>
        <w:rPr>
          <w:b/>
          <w:bCs/>
          <w:color w:val="auto"/>
        </w:rPr>
      </w:pPr>
      <w:r w:rsidRPr="00F862D9">
        <w:rPr>
          <w:b/>
          <w:bCs/>
          <w:color w:val="auto"/>
        </w:rPr>
        <w:t>Radiation Incident</w:t>
      </w:r>
    </w:p>
    <w:p w14:paraId="71E8D153" w14:textId="3D88F98C" w:rsidR="00D35C81" w:rsidRDefault="00D35C81" w:rsidP="007D73A0">
      <w:pPr>
        <w:jc w:val="both"/>
      </w:pPr>
      <w:r>
        <w:t xml:space="preserve">Where a radiation accident is </w:t>
      </w:r>
      <w:r w:rsidR="00F862D9">
        <w:t>accompanied by serious personal</w:t>
      </w:r>
      <w:r>
        <w:t xml:space="preserve"> injury, treatment of the injury takes precedence over </w:t>
      </w:r>
      <w:r w:rsidR="00F862D9">
        <w:t>equipment fault</w:t>
      </w:r>
      <w:r>
        <w:t>.</w:t>
      </w:r>
      <w:r w:rsidR="00F862D9">
        <w:t xml:space="preserve"> However, it </w:t>
      </w:r>
      <w:r w:rsidR="003773A2">
        <w:t>is</w:t>
      </w:r>
      <w:r w:rsidR="00F862D9">
        <w:t xml:space="preserve"> necessary to turn off the system by pressing the red emergency button (</w:t>
      </w:r>
      <w:r w:rsidR="007D73A0">
        <w:t>if there is one</w:t>
      </w:r>
      <w:r w:rsidR="00F862D9">
        <w:t xml:space="preserve">). </w:t>
      </w:r>
      <w:r>
        <w:t xml:space="preserve">Immediate medical assistance </w:t>
      </w:r>
      <w:r w:rsidR="00F862D9">
        <w:t xml:space="preserve">can be obtained by dialing 911 </w:t>
      </w:r>
      <w:r w:rsidR="00A717FA">
        <w:t xml:space="preserve">from a landline </w:t>
      </w:r>
      <w:r w:rsidR="00F862D9">
        <w:t xml:space="preserve">or </w:t>
      </w:r>
      <w:r w:rsidR="00A717FA">
        <w:t xml:space="preserve">012 808 0911 </w:t>
      </w:r>
      <w:r w:rsidR="00F862D9">
        <w:t>from a mobile phone</w:t>
      </w:r>
      <w:r>
        <w:t xml:space="preserve">.  </w:t>
      </w:r>
    </w:p>
    <w:p w14:paraId="38CAD81B" w14:textId="58D14AEA" w:rsidR="003773A2" w:rsidRDefault="003773A2" w:rsidP="00925D0E">
      <w:pPr>
        <w:jc w:val="both"/>
      </w:pPr>
      <w:r>
        <w:t>Please follow the steps below:</w:t>
      </w:r>
    </w:p>
    <w:p w14:paraId="0E51003D" w14:textId="347C94F3" w:rsidR="003773A2" w:rsidRDefault="00A717FA" w:rsidP="00A21B15">
      <w:pPr>
        <w:pStyle w:val="ListParagraph"/>
        <w:numPr>
          <w:ilvl w:val="0"/>
          <w:numId w:val="12"/>
        </w:numPr>
        <w:jc w:val="both"/>
      </w:pPr>
      <w:r>
        <w:t>In an emergency interrupt</w:t>
      </w:r>
      <w:r w:rsidR="002A53A0">
        <w:t xml:space="preserve"> the</w:t>
      </w:r>
      <w:r>
        <w:t xml:space="preserve"> </w:t>
      </w:r>
      <w:r w:rsidR="0073373C">
        <w:t>x</w:t>
      </w:r>
      <w:r w:rsidR="00C063F0">
        <w:t>-ray emission</w:t>
      </w:r>
      <w:r w:rsidR="002A53A0">
        <w:t xml:space="preserve"> by hitting the Red emergen</w:t>
      </w:r>
      <w:r w:rsidR="00A21B15">
        <w:t>cy stop button, or turning the k</w:t>
      </w:r>
      <w:r w:rsidR="002A53A0">
        <w:t>ey switch off</w:t>
      </w:r>
      <w:r w:rsidR="003773A2">
        <w:t>.</w:t>
      </w:r>
    </w:p>
    <w:p w14:paraId="4A913CD8" w14:textId="4EDCE7D6" w:rsidR="003773A2" w:rsidRDefault="00C063F0" w:rsidP="00925D0E">
      <w:pPr>
        <w:pStyle w:val="ListParagraph"/>
        <w:numPr>
          <w:ilvl w:val="0"/>
          <w:numId w:val="12"/>
        </w:numPr>
        <w:jc w:val="both"/>
      </w:pPr>
      <w:r>
        <w:t>Deal with life threatening conditions first</w:t>
      </w:r>
      <w:r w:rsidR="003773A2">
        <w:t>.</w:t>
      </w:r>
      <w:r>
        <w:t xml:space="preserve"> Summon someone tra</w:t>
      </w:r>
      <w:r w:rsidR="003773A2">
        <w:t>ined in First Aid if necessary.</w:t>
      </w:r>
    </w:p>
    <w:p w14:paraId="2BA02445" w14:textId="46683499" w:rsidR="003773A2" w:rsidRDefault="003773A2" w:rsidP="005E57ED">
      <w:pPr>
        <w:pStyle w:val="ListParagraph"/>
        <w:numPr>
          <w:ilvl w:val="0"/>
          <w:numId w:val="12"/>
        </w:numPr>
        <w:jc w:val="both"/>
      </w:pPr>
      <w:r>
        <w:t>Stabiliz</w:t>
      </w:r>
      <w:r w:rsidR="00C063F0">
        <w:t xml:space="preserve">e the Situation: If possible, return to the </w:t>
      </w:r>
      <w:r w:rsidR="005E57ED">
        <w:t>radiation-producing equipment</w:t>
      </w:r>
      <w:r w:rsidR="00A717FA">
        <w:t>,</w:t>
      </w:r>
      <w:r w:rsidR="00C063F0">
        <w:t xml:space="preserve"> ensure it is switched off and th</w:t>
      </w:r>
      <w:r w:rsidR="002A1DC3">
        <w:t>at th</w:t>
      </w:r>
      <w:r w:rsidR="00C063F0">
        <w:t xml:space="preserve">e </w:t>
      </w:r>
      <w:r w:rsidR="0073373C">
        <w:t>x</w:t>
      </w:r>
      <w:r w:rsidR="00C063F0">
        <w:t>-ray source is electrically isolated.</w:t>
      </w:r>
    </w:p>
    <w:p w14:paraId="7FBC8B7F" w14:textId="748CCA29" w:rsidR="003773A2" w:rsidRDefault="00C063F0" w:rsidP="002A1DC3">
      <w:pPr>
        <w:pStyle w:val="ListParagraph"/>
        <w:numPr>
          <w:ilvl w:val="0"/>
          <w:numId w:val="12"/>
        </w:numPr>
        <w:jc w:val="both"/>
      </w:pPr>
      <w:r>
        <w:lastRenderedPageBreak/>
        <w:t xml:space="preserve">Prevent Access: Ensure that no one is able to restart the </w:t>
      </w:r>
      <w:r w:rsidR="002A1DC3">
        <w:t>x</w:t>
      </w:r>
      <w:r>
        <w:t>-ray generator. Post appropriate warning messages on the mach</w:t>
      </w:r>
      <w:r w:rsidR="003773A2">
        <w:t>ine and remove the keys.</w:t>
      </w:r>
    </w:p>
    <w:p w14:paraId="546A700A" w14:textId="7149DF11" w:rsidR="003773A2" w:rsidRDefault="00C063F0" w:rsidP="00702C24">
      <w:pPr>
        <w:pStyle w:val="ListParagraph"/>
        <w:numPr>
          <w:ilvl w:val="0"/>
          <w:numId w:val="12"/>
        </w:numPr>
        <w:jc w:val="both"/>
      </w:pPr>
      <w:r>
        <w:t xml:space="preserve">Contact your </w:t>
      </w:r>
      <w:r w:rsidR="00702C24">
        <w:t>LSR,</w:t>
      </w:r>
      <w:r w:rsidR="003773A2">
        <w:t xml:space="preserve"> PI</w:t>
      </w:r>
      <w:r w:rsidR="00702C24">
        <w:t xml:space="preserve"> and RSO</w:t>
      </w:r>
      <w:r>
        <w:t xml:space="preserve"> and let them know what has happened. If the equipment has been damaged in any way seek advice be</w:t>
      </w:r>
      <w:r w:rsidR="003773A2">
        <w:t>fore using the equipment again.</w:t>
      </w:r>
    </w:p>
    <w:p w14:paraId="0170D9E7" w14:textId="3C0F206B" w:rsidR="00C063F0" w:rsidRDefault="00C063F0" w:rsidP="00925D0E">
      <w:pPr>
        <w:pStyle w:val="ListParagraph"/>
        <w:numPr>
          <w:ilvl w:val="0"/>
          <w:numId w:val="12"/>
        </w:numPr>
        <w:jc w:val="both"/>
      </w:pPr>
      <w:r>
        <w:t xml:space="preserve">After the incident has been satisfactorily dealt with you will need </w:t>
      </w:r>
      <w:r w:rsidR="003773A2">
        <w:t xml:space="preserve">to report the incident using the </w:t>
      </w:r>
      <w:r>
        <w:t>university’s accident reporting system</w:t>
      </w:r>
      <w:r w:rsidR="007D73A0">
        <w:t xml:space="preserve"> (</w:t>
      </w:r>
      <w:hyperlink r:id="rId18" w:history="1">
        <w:r w:rsidR="007D73A0" w:rsidRPr="007D73A0">
          <w:rPr>
            <w:rStyle w:val="Hyperlink"/>
          </w:rPr>
          <w:t>Report</w:t>
        </w:r>
        <w:r w:rsidR="009C2116">
          <w:rPr>
            <w:rStyle w:val="Hyperlink"/>
          </w:rPr>
          <w:t xml:space="preserve"> </w:t>
        </w:r>
        <w:r w:rsidR="007D73A0" w:rsidRPr="007D73A0">
          <w:rPr>
            <w:rStyle w:val="Hyperlink"/>
          </w:rPr>
          <w:t>it</w:t>
        </w:r>
      </w:hyperlink>
      <w:r w:rsidR="007D73A0">
        <w:t>).</w:t>
      </w:r>
    </w:p>
    <w:p w14:paraId="6AE12F32" w14:textId="7282690F" w:rsidR="00086592" w:rsidRDefault="00086592" w:rsidP="00086592">
      <w:pPr>
        <w:pStyle w:val="Heading2"/>
        <w:rPr>
          <w:b/>
          <w:bCs/>
          <w:color w:val="auto"/>
        </w:rPr>
      </w:pPr>
      <w:r>
        <w:rPr>
          <w:b/>
          <w:bCs/>
          <w:color w:val="auto"/>
        </w:rPr>
        <w:t>Damage or malfunction of the X-ray emitting device</w:t>
      </w:r>
    </w:p>
    <w:p w14:paraId="47E48758" w14:textId="60469981" w:rsidR="00086592" w:rsidRDefault="00086592" w:rsidP="00DC56F2">
      <w:r>
        <w:t xml:space="preserve">If the </w:t>
      </w:r>
      <w:r w:rsidR="00DC56F2">
        <w:t xml:space="preserve">radiation-producing equipment </w:t>
      </w:r>
      <w:r>
        <w:t>is damaged or malfunctioning please follow the steps below:</w:t>
      </w:r>
    </w:p>
    <w:p w14:paraId="10055332" w14:textId="3F851CFF" w:rsidR="00086592" w:rsidRDefault="00086592" w:rsidP="005E57ED">
      <w:pPr>
        <w:pStyle w:val="ListParagraph"/>
        <w:numPr>
          <w:ilvl w:val="0"/>
          <w:numId w:val="24"/>
        </w:numPr>
      </w:pPr>
      <w:r>
        <w:t xml:space="preserve">Stop the </w:t>
      </w:r>
      <w:r w:rsidR="005E57ED">
        <w:t xml:space="preserve">radiation-producing equipment </w:t>
      </w:r>
      <w:r>
        <w:t xml:space="preserve">using the normal procedure and if necessary press the Red </w:t>
      </w:r>
      <w:r w:rsidR="005E57ED">
        <w:t>e</w:t>
      </w:r>
      <w:r>
        <w:t xml:space="preserve">mergency </w:t>
      </w:r>
      <w:r w:rsidR="005E57ED">
        <w:t>s</w:t>
      </w:r>
      <w:r>
        <w:t>top button</w:t>
      </w:r>
      <w:r w:rsidR="005E57ED">
        <w:t>, or any other method to interrupt the x-ray emission</w:t>
      </w:r>
      <w:r w:rsidR="0073373C">
        <w:t>.</w:t>
      </w:r>
    </w:p>
    <w:p w14:paraId="31BDD9FC" w14:textId="16879115" w:rsidR="00086592" w:rsidRDefault="005E57ED" w:rsidP="00086592">
      <w:pPr>
        <w:pStyle w:val="ListParagraph"/>
        <w:numPr>
          <w:ilvl w:val="0"/>
          <w:numId w:val="24"/>
        </w:numPr>
      </w:pPr>
      <w:r>
        <w:t>I</w:t>
      </w:r>
      <w:r w:rsidR="009C2116" w:rsidRPr="00DC56F2">
        <w:t>f</w:t>
      </w:r>
      <w:r>
        <w:t xml:space="preserve"> the equipment is equipped with a key, </w:t>
      </w:r>
      <w:r w:rsidR="009C2116">
        <w:t>remove</w:t>
      </w:r>
      <w:r w:rsidR="00086592">
        <w:t xml:space="preserve"> the key</w:t>
      </w:r>
      <w:r w:rsidR="0073373C">
        <w:t>.</w:t>
      </w:r>
    </w:p>
    <w:p w14:paraId="3E25564B" w14:textId="2D243273" w:rsidR="00086592" w:rsidRDefault="00086592" w:rsidP="0073373C">
      <w:pPr>
        <w:pStyle w:val="ListParagraph"/>
        <w:numPr>
          <w:ilvl w:val="0"/>
          <w:numId w:val="24"/>
        </w:numPr>
      </w:pPr>
      <w:r>
        <w:t>Place a warning notice on the equipment “DO NOT USE</w:t>
      </w:r>
      <w:r w:rsidR="002A1DC3">
        <w:t xml:space="preserve"> – </w:t>
      </w:r>
      <w:r w:rsidR="0073373C">
        <w:t>EQUIPMENT FAULT</w:t>
      </w:r>
      <w:r w:rsidR="002A1DC3">
        <w:t>”</w:t>
      </w:r>
      <w:r w:rsidR="00FB7BE6">
        <w:t>.</w:t>
      </w:r>
      <w:bookmarkStart w:id="0" w:name="_GoBack"/>
      <w:bookmarkEnd w:id="0"/>
      <w:r>
        <w:t xml:space="preserve"> </w:t>
      </w:r>
    </w:p>
    <w:p w14:paraId="5BAE189A" w14:textId="71AAA980" w:rsidR="002840BB" w:rsidRPr="00086592" w:rsidRDefault="002840BB" w:rsidP="005E57ED">
      <w:pPr>
        <w:pStyle w:val="ListParagraph"/>
        <w:numPr>
          <w:ilvl w:val="0"/>
          <w:numId w:val="24"/>
        </w:numPr>
      </w:pPr>
      <w:r>
        <w:t xml:space="preserve">Contact your LSR, PI and RSO and let them know about the issue so the </w:t>
      </w:r>
      <w:r w:rsidR="005E57ED">
        <w:t>radiation-producing equipment</w:t>
      </w:r>
      <w:r>
        <w:t xml:space="preserve"> can be fixed.</w:t>
      </w:r>
    </w:p>
    <w:p w14:paraId="7B6D39AA" w14:textId="48F7F0E4" w:rsidR="00D35C81" w:rsidRPr="00F862D9" w:rsidRDefault="00D35C81" w:rsidP="00F862D9">
      <w:pPr>
        <w:pStyle w:val="Heading2"/>
        <w:rPr>
          <w:b/>
          <w:bCs/>
          <w:color w:val="auto"/>
          <w:sz w:val="20"/>
        </w:rPr>
      </w:pPr>
      <w:r w:rsidRPr="00F862D9">
        <w:rPr>
          <w:b/>
          <w:bCs/>
          <w:color w:val="auto"/>
        </w:rPr>
        <w:t>Laboratory Fires and Explosions</w:t>
      </w:r>
    </w:p>
    <w:p w14:paraId="69CCA14F" w14:textId="70767500" w:rsidR="003773A2" w:rsidRDefault="00D35C81" w:rsidP="00844BB0">
      <w:pPr>
        <w:jc w:val="both"/>
      </w:pPr>
      <w:r>
        <w:t xml:space="preserve">In the event of a fire or explosion affecting </w:t>
      </w:r>
      <w:r w:rsidR="00844BB0">
        <w:t>the laboratory</w:t>
      </w:r>
      <w:r>
        <w:t>, local area fire drill procedures should be followed</w:t>
      </w:r>
      <w:r w:rsidR="003773A2">
        <w:t>.</w:t>
      </w:r>
    </w:p>
    <w:p w14:paraId="328A36E5" w14:textId="77777777" w:rsidR="003773A2" w:rsidRDefault="003773A2" w:rsidP="00925D0E">
      <w:pPr>
        <w:jc w:val="both"/>
      </w:pPr>
      <w:r>
        <w:t>Please follow the steps below:</w:t>
      </w:r>
    </w:p>
    <w:p w14:paraId="7B68C056" w14:textId="0B0D27A8" w:rsidR="003773A2" w:rsidRDefault="00A717FA" w:rsidP="005E57ED">
      <w:pPr>
        <w:pStyle w:val="ListParagraph"/>
        <w:numPr>
          <w:ilvl w:val="0"/>
          <w:numId w:val="13"/>
        </w:numPr>
        <w:jc w:val="both"/>
      </w:pPr>
      <w:r>
        <w:t xml:space="preserve">In an emergency </w:t>
      </w:r>
      <w:r w:rsidR="005E57ED">
        <w:t>interrupt the x-ray emission by hitting the Red emergen</w:t>
      </w:r>
      <w:r w:rsidR="00A21B15">
        <w:t>cy stop button, or turning the key switch off</w:t>
      </w:r>
      <w:r w:rsidR="005E57ED">
        <w:t>.</w:t>
      </w:r>
    </w:p>
    <w:p w14:paraId="43F4827B" w14:textId="163E7E8E" w:rsidR="003773A2" w:rsidRDefault="003773A2" w:rsidP="00925D0E">
      <w:pPr>
        <w:pStyle w:val="ListParagraph"/>
        <w:numPr>
          <w:ilvl w:val="0"/>
          <w:numId w:val="13"/>
        </w:numPr>
        <w:jc w:val="both"/>
      </w:pPr>
      <w:r>
        <w:t>Call the Fire Department and inform the Lab Manager and Research Safety Team.</w:t>
      </w:r>
    </w:p>
    <w:p w14:paraId="3E8C5D91" w14:textId="671CC403" w:rsidR="003773A2" w:rsidRDefault="003773A2" w:rsidP="00925D0E">
      <w:pPr>
        <w:pStyle w:val="ListParagraph"/>
        <w:numPr>
          <w:ilvl w:val="0"/>
          <w:numId w:val="13"/>
        </w:numPr>
        <w:jc w:val="both"/>
      </w:pPr>
      <w:r>
        <w:t xml:space="preserve">Prevent Access: Ensure that no one is able to restart the x-ray generator </w:t>
      </w:r>
      <w:r w:rsidR="005E57ED">
        <w:t xml:space="preserve">(e.g. </w:t>
      </w:r>
      <w:r>
        <w:t xml:space="preserve">by </w:t>
      </w:r>
      <w:r w:rsidRPr="00104E0B">
        <w:t>removing the key</w:t>
      </w:r>
      <w:r w:rsidR="005E57ED">
        <w:t>)</w:t>
      </w:r>
      <w:r>
        <w:t xml:space="preserve">. </w:t>
      </w:r>
    </w:p>
    <w:p w14:paraId="7CA79894" w14:textId="5DE84F9D" w:rsidR="003773A2" w:rsidRDefault="003773A2" w:rsidP="00925D0E">
      <w:pPr>
        <w:pStyle w:val="ListParagraph"/>
        <w:numPr>
          <w:ilvl w:val="0"/>
          <w:numId w:val="13"/>
        </w:numPr>
        <w:jc w:val="both"/>
      </w:pPr>
      <w:r>
        <w:t xml:space="preserve">Evacuate the </w:t>
      </w:r>
      <w:r w:rsidR="00A717FA">
        <w:t>l</w:t>
      </w:r>
      <w:r>
        <w:t>ab</w:t>
      </w:r>
      <w:r w:rsidR="00A717FA">
        <w:t>oratory</w:t>
      </w:r>
      <w:r>
        <w:t xml:space="preserve"> according to the local area fire drills.</w:t>
      </w:r>
    </w:p>
    <w:p w14:paraId="62F8AA8F" w14:textId="10749AFA" w:rsidR="003773A2" w:rsidRDefault="003773A2" w:rsidP="00925D0E">
      <w:pPr>
        <w:pStyle w:val="ListParagraph"/>
        <w:numPr>
          <w:ilvl w:val="0"/>
          <w:numId w:val="13"/>
        </w:numPr>
        <w:jc w:val="both"/>
      </w:pPr>
      <w:r>
        <w:t>Report: After the incident has been dealt with</w:t>
      </w:r>
      <w:r w:rsidR="00A717FA">
        <w:t xml:space="preserve"> in a satisfying manner</w:t>
      </w:r>
      <w:r>
        <w:t xml:space="preserve"> you will need to report the incident using the </w:t>
      </w:r>
      <w:r w:rsidR="00A717FA">
        <w:t xml:space="preserve">University’s </w:t>
      </w:r>
      <w:r>
        <w:t>accident reporting system.</w:t>
      </w:r>
    </w:p>
    <w:p w14:paraId="69140A2C" w14:textId="77777777" w:rsidR="003773A2" w:rsidRDefault="003773A2" w:rsidP="00925D0E">
      <w:pPr>
        <w:jc w:val="both"/>
      </w:pPr>
    </w:p>
    <w:p w14:paraId="3F6E96E8" w14:textId="7FD556FB" w:rsidR="00D35C81" w:rsidRPr="003773A2" w:rsidRDefault="00D35C81" w:rsidP="00A21B15">
      <w:pPr>
        <w:jc w:val="both"/>
      </w:pPr>
      <w:r>
        <w:t xml:space="preserve">It is considered radiologically safe for emergency services to enter </w:t>
      </w:r>
      <w:r w:rsidR="00A21B15">
        <w:t xml:space="preserve">Non-Designated and </w:t>
      </w:r>
      <w:r w:rsidR="00844BB0">
        <w:t>Supervised A</w:t>
      </w:r>
      <w:r>
        <w:t>reas</w:t>
      </w:r>
      <w:r w:rsidR="003773A2">
        <w:t xml:space="preserve"> where </w:t>
      </w:r>
      <w:r w:rsidR="00A21B15">
        <w:t>radiation-producing equipment</w:t>
      </w:r>
      <w:r w:rsidR="003773A2">
        <w:t xml:space="preserve"> are used. However, due to the other hazards present in the lab, </w:t>
      </w:r>
      <w:r>
        <w:t xml:space="preserve">chemical suits and breathing apparatus </w:t>
      </w:r>
      <w:r w:rsidR="003773A2">
        <w:t>may need to</w:t>
      </w:r>
      <w:r>
        <w:t xml:space="preserve"> be worn when entering </w:t>
      </w:r>
      <w:r w:rsidR="00A21B15">
        <w:t>these</w:t>
      </w:r>
      <w:r>
        <w:t xml:space="preserve"> areas. </w:t>
      </w:r>
    </w:p>
    <w:p w14:paraId="70FADF15" w14:textId="77777777" w:rsidR="003549B7" w:rsidRDefault="003549B7" w:rsidP="003549B7">
      <w:pPr>
        <w:rPr>
          <w:b/>
          <w:bCs/>
        </w:rPr>
      </w:pPr>
    </w:p>
    <w:p w14:paraId="6B4DA1E8" w14:textId="77777777" w:rsidR="008064DA" w:rsidRDefault="008064DA" w:rsidP="003549B7">
      <w:pPr>
        <w:rPr>
          <w:b/>
          <w:bCs/>
        </w:rPr>
      </w:pPr>
    </w:p>
    <w:p w14:paraId="1C49405D" w14:textId="77777777" w:rsidR="008064DA" w:rsidRDefault="008064DA" w:rsidP="003549B7">
      <w:pPr>
        <w:rPr>
          <w:b/>
          <w:bCs/>
        </w:rPr>
      </w:pPr>
    </w:p>
    <w:p w14:paraId="3FF88718" w14:textId="77777777" w:rsidR="00A21B15" w:rsidRDefault="00A21B15" w:rsidP="003549B7">
      <w:pPr>
        <w:rPr>
          <w:b/>
          <w:bCs/>
        </w:rPr>
      </w:pPr>
    </w:p>
    <w:p w14:paraId="75A6531B" w14:textId="51EF7AFA" w:rsidR="003549B7" w:rsidRDefault="008064DA" w:rsidP="008064DA">
      <w:pPr>
        <w:spacing w:after="120"/>
        <w:rPr>
          <w:b/>
          <w:bCs/>
        </w:rPr>
      </w:pPr>
      <w:r>
        <w:rPr>
          <w:b/>
          <w:bCs/>
        </w:rPr>
        <w:t>Document History</w:t>
      </w:r>
    </w:p>
    <w:tbl>
      <w:tblPr>
        <w:tblStyle w:val="TableGrid"/>
        <w:tblW w:w="0" w:type="auto"/>
        <w:tblLook w:val="04A0" w:firstRow="1" w:lastRow="0" w:firstColumn="1" w:lastColumn="0" w:noHBand="0" w:noVBand="1"/>
      </w:tblPr>
      <w:tblGrid>
        <w:gridCol w:w="1165"/>
        <w:gridCol w:w="6210"/>
        <w:gridCol w:w="1975"/>
      </w:tblGrid>
      <w:tr w:rsidR="008064DA" w14:paraId="1CB7A123" w14:textId="77777777" w:rsidTr="0062266F">
        <w:tc>
          <w:tcPr>
            <w:tcW w:w="1165" w:type="dxa"/>
          </w:tcPr>
          <w:p w14:paraId="28AE2FD2" w14:textId="77777777" w:rsidR="008064DA" w:rsidRPr="00E4361B" w:rsidRDefault="008064DA" w:rsidP="0062266F">
            <w:pPr>
              <w:jc w:val="center"/>
              <w:rPr>
                <w:b/>
                <w:bCs/>
              </w:rPr>
            </w:pPr>
            <w:r w:rsidRPr="00E4361B">
              <w:rPr>
                <w:b/>
                <w:bCs/>
              </w:rPr>
              <w:t>Revision #</w:t>
            </w:r>
          </w:p>
        </w:tc>
        <w:tc>
          <w:tcPr>
            <w:tcW w:w="6210" w:type="dxa"/>
          </w:tcPr>
          <w:p w14:paraId="3D6D5312" w14:textId="77777777" w:rsidR="008064DA" w:rsidRPr="00E4361B" w:rsidRDefault="008064DA" w:rsidP="0062266F">
            <w:pPr>
              <w:jc w:val="center"/>
              <w:rPr>
                <w:b/>
                <w:bCs/>
              </w:rPr>
            </w:pPr>
            <w:r w:rsidRPr="00E4361B">
              <w:rPr>
                <w:b/>
                <w:bCs/>
              </w:rPr>
              <w:t>Details of Significant Changes</w:t>
            </w:r>
          </w:p>
        </w:tc>
        <w:tc>
          <w:tcPr>
            <w:tcW w:w="1975" w:type="dxa"/>
          </w:tcPr>
          <w:p w14:paraId="2618B3D4" w14:textId="77777777" w:rsidR="008064DA" w:rsidRPr="00E4361B" w:rsidRDefault="008064DA" w:rsidP="0062266F">
            <w:pPr>
              <w:jc w:val="center"/>
              <w:rPr>
                <w:b/>
                <w:bCs/>
              </w:rPr>
            </w:pPr>
            <w:r w:rsidRPr="00E4361B">
              <w:rPr>
                <w:b/>
                <w:bCs/>
              </w:rPr>
              <w:t>Date (dd/mm/yyy)</w:t>
            </w:r>
          </w:p>
        </w:tc>
      </w:tr>
      <w:tr w:rsidR="008064DA" w14:paraId="0548D33F" w14:textId="77777777" w:rsidTr="0062266F">
        <w:tc>
          <w:tcPr>
            <w:tcW w:w="1165" w:type="dxa"/>
          </w:tcPr>
          <w:p w14:paraId="4BAD7C61" w14:textId="77777777" w:rsidR="008064DA" w:rsidRDefault="008064DA" w:rsidP="0062266F">
            <w:pPr>
              <w:jc w:val="center"/>
            </w:pPr>
            <w:r>
              <w:t>0</w:t>
            </w:r>
          </w:p>
        </w:tc>
        <w:tc>
          <w:tcPr>
            <w:tcW w:w="6210" w:type="dxa"/>
          </w:tcPr>
          <w:p w14:paraId="598965B6" w14:textId="77777777" w:rsidR="008064DA" w:rsidRDefault="008064DA" w:rsidP="0062266F">
            <w:pPr>
              <w:jc w:val="center"/>
            </w:pPr>
            <w:r>
              <w:t>First version</w:t>
            </w:r>
          </w:p>
        </w:tc>
        <w:tc>
          <w:tcPr>
            <w:tcW w:w="1975" w:type="dxa"/>
          </w:tcPr>
          <w:p w14:paraId="070FD41B" w14:textId="55CFC449" w:rsidR="008064DA" w:rsidRDefault="0085682C" w:rsidP="0062266F">
            <w:pPr>
              <w:jc w:val="center"/>
            </w:pPr>
            <w:r>
              <w:t>28-Aug</w:t>
            </w:r>
            <w:r w:rsidR="008064DA">
              <w:t>-2018</w:t>
            </w:r>
          </w:p>
        </w:tc>
      </w:tr>
      <w:tr w:rsidR="008064DA" w14:paraId="20C14DE5" w14:textId="77777777" w:rsidTr="0062266F">
        <w:tc>
          <w:tcPr>
            <w:tcW w:w="1165" w:type="dxa"/>
          </w:tcPr>
          <w:p w14:paraId="55DCDDA5" w14:textId="77777777" w:rsidR="008064DA" w:rsidRDefault="008064DA" w:rsidP="0062266F">
            <w:pPr>
              <w:jc w:val="center"/>
            </w:pPr>
          </w:p>
        </w:tc>
        <w:tc>
          <w:tcPr>
            <w:tcW w:w="6210" w:type="dxa"/>
          </w:tcPr>
          <w:p w14:paraId="152FE0E8" w14:textId="77777777" w:rsidR="008064DA" w:rsidRDefault="008064DA" w:rsidP="0062266F">
            <w:pPr>
              <w:jc w:val="center"/>
            </w:pPr>
          </w:p>
        </w:tc>
        <w:tc>
          <w:tcPr>
            <w:tcW w:w="1975" w:type="dxa"/>
          </w:tcPr>
          <w:p w14:paraId="68D3CF37" w14:textId="77777777" w:rsidR="008064DA" w:rsidRDefault="008064DA" w:rsidP="0062266F">
            <w:pPr>
              <w:jc w:val="center"/>
            </w:pPr>
          </w:p>
        </w:tc>
      </w:tr>
      <w:tr w:rsidR="008064DA" w14:paraId="263F6046" w14:textId="77777777" w:rsidTr="0062266F">
        <w:tc>
          <w:tcPr>
            <w:tcW w:w="1165" w:type="dxa"/>
          </w:tcPr>
          <w:p w14:paraId="32D606A9" w14:textId="77777777" w:rsidR="008064DA" w:rsidRDefault="008064DA" w:rsidP="0062266F">
            <w:pPr>
              <w:jc w:val="center"/>
            </w:pPr>
          </w:p>
        </w:tc>
        <w:tc>
          <w:tcPr>
            <w:tcW w:w="6210" w:type="dxa"/>
          </w:tcPr>
          <w:p w14:paraId="57CA4B46" w14:textId="77777777" w:rsidR="008064DA" w:rsidRDefault="008064DA" w:rsidP="0062266F">
            <w:pPr>
              <w:jc w:val="center"/>
            </w:pPr>
          </w:p>
        </w:tc>
        <w:tc>
          <w:tcPr>
            <w:tcW w:w="1975" w:type="dxa"/>
          </w:tcPr>
          <w:p w14:paraId="06B69A05" w14:textId="77777777" w:rsidR="008064DA" w:rsidRDefault="008064DA" w:rsidP="0062266F">
            <w:pPr>
              <w:jc w:val="center"/>
            </w:pPr>
          </w:p>
        </w:tc>
      </w:tr>
      <w:tr w:rsidR="008064DA" w14:paraId="769ED034" w14:textId="77777777" w:rsidTr="0062266F">
        <w:tc>
          <w:tcPr>
            <w:tcW w:w="1165" w:type="dxa"/>
          </w:tcPr>
          <w:p w14:paraId="685D2895" w14:textId="77777777" w:rsidR="008064DA" w:rsidRDefault="008064DA" w:rsidP="0062266F">
            <w:pPr>
              <w:jc w:val="center"/>
            </w:pPr>
          </w:p>
        </w:tc>
        <w:tc>
          <w:tcPr>
            <w:tcW w:w="6210" w:type="dxa"/>
          </w:tcPr>
          <w:p w14:paraId="58EABD16" w14:textId="77777777" w:rsidR="008064DA" w:rsidRDefault="008064DA" w:rsidP="0062266F">
            <w:pPr>
              <w:jc w:val="center"/>
            </w:pPr>
          </w:p>
        </w:tc>
        <w:tc>
          <w:tcPr>
            <w:tcW w:w="1975" w:type="dxa"/>
          </w:tcPr>
          <w:p w14:paraId="4064D07B" w14:textId="77777777" w:rsidR="008064DA" w:rsidRDefault="008064DA" w:rsidP="0062266F">
            <w:pPr>
              <w:jc w:val="center"/>
            </w:pPr>
          </w:p>
        </w:tc>
      </w:tr>
      <w:tr w:rsidR="008064DA" w14:paraId="536A0607" w14:textId="77777777" w:rsidTr="0062266F">
        <w:tc>
          <w:tcPr>
            <w:tcW w:w="1165" w:type="dxa"/>
          </w:tcPr>
          <w:p w14:paraId="45A64CB5" w14:textId="77777777" w:rsidR="008064DA" w:rsidRDefault="008064DA" w:rsidP="0062266F">
            <w:pPr>
              <w:jc w:val="center"/>
            </w:pPr>
          </w:p>
        </w:tc>
        <w:tc>
          <w:tcPr>
            <w:tcW w:w="6210" w:type="dxa"/>
          </w:tcPr>
          <w:p w14:paraId="17D9924D" w14:textId="77777777" w:rsidR="008064DA" w:rsidRDefault="008064DA" w:rsidP="0062266F">
            <w:pPr>
              <w:jc w:val="center"/>
            </w:pPr>
          </w:p>
        </w:tc>
        <w:tc>
          <w:tcPr>
            <w:tcW w:w="1975" w:type="dxa"/>
          </w:tcPr>
          <w:p w14:paraId="10CE3F96" w14:textId="77777777" w:rsidR="008064DA" w:rsidRDefault="008064DA" w:rsidP="0062266F">
            <w:pPr>
              <w:jc w:val="center"/>
            </w:pPr>
          </w:p>
        </w:tc>
      </w:tr>
    </w:tbl>
    <w:p w14:paraId="0691EE9D" w14:textId="14639ED7" w:rsidR="00925D0E" w:rsidRDefault="00925D0E" w:rsidP="008064DA">
      <w:pPr>
        <w:jc w:val="both"/>
      </w:pPr>
    </w:p>
    <w:sectPr w:rsidR="00925D0E" w:rsidSect="00E27327">
      <w:footerReference w:type="default" r:id="rId19"/>
      <w:pgSz w:w="12240" w:h="15840"/>
      <w:pgMar w:top="1440" w:right="1440" w:bottom="135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768890" w16cid:durableId="1E946593"/>
  <w16cid:commentId w16cid:paraId="4355D9A5" w16cid:durableId="1E946594"/>
  <w16cid:commentId w16cid:paraId="16C4754B" w16cid:durableId="1E94848A"/>
  <w16cid:commentId w16cid:paraId="48FA749B" w16cid:durableId="1E946595"/>
  <w16cid:commentId w16cid:paraId="0AA1E469" w16cid:durableId="1E946596"/>
  <w16cid:commentId w16cid:paraId="3B78105E" w16cid:durableId="1E946597"/>
  <w16cid:commentId w16cid:paraId="7616AD41" w16cid:durableId="1E9465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ED56B" w14:textId="77777777" w:rsidR="00AB601D" w:rsidRDefault="00AB601D" w:rsidP="008301FE">
      <w:pPr>
        <w:spacing w:line="240" w:lineRule="auto"/>
      </w:pPr>
      <w:r>
        <w:separator/>
      </w:r>
    </w:p>
  </w:endnote>
  <w:endnote w:type="continuationSeparator" w:id="0">
    <w:p w14:paraId="30E7ABF2" w14:textId="77777777" w:rsidR="00AB601D" w:rsidRDefault="00AB601D" w:rsidP="00830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297931"/>
      <w:docPartObj>
        <w:docPartGallery w:val="Page Numbers (Bottom of Page)"/>
        <w:docPartUnique/>
      </w:docPartObj>
    </w:sdtPr>
    <w:sdtEndPr/>
    <w:sdtContent>
      <w:sdt>
        <w:sdtPr>
          <w:id w:val="-1769616900"/>
          <w:docPartObj>
            <w:docPartGallery w:val="Page Numbers (Top of Page)"/>
            <w:docPartUnique/>
          </w:docPartObj>
        </w:sdtPr>
        <w:sdtEndPr/>
        <w:sdtContent>
          <w:p w14:paraId="009E977A" w14:textId="47AE78CD" w:rsidR="008301FE" w:rsidRDefault="008301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7BE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7BE6">
              <w:rPr>
                <w:b/>
                <w:bCs/>
                <w:noProof/>
              </w:rPr>
              <w:t>8</w:t>
            </w:r>
            <w:r>
              <w:rPr>
                <w:b/>
                <w:bCs/>
                <w:sz w:val="24"/>
                <w:szCs w:val="24"/>
              </w:rPr>
              <w:fldChar w:fldCharType="end"/>
            </w:r>
          </w:p>
        </w:sdtContent>
      </w:sdt>
    </w:sdtContent>
  </w:sdt>
  <w:p w14:paraId="520AF95A" w14:textId="77777777" w:rsidR="008301FE" w:rsidRDefault="00830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456E3" w14:textId="77777777" w:rsidR="00AB601D" w:rsidRDefault="00AB601D" w:rsidP="008301FE">
      <w:pPr>
        <w:spacing w:line="240" w:lineRule="auto"/>
      </w:pPr>
      <w:r>
        <w:separator/>
      </w:r>
    </w:p>
  </w:footnote>
  <w:footnote w:type="continuationSeparator" w:id="0">
    <w:p w14:paraId="138BAEFD" w14:textId="77777777" w:rsidR="00AB601D" w:rsidRDefault="00AB601D" w:rsidP="008301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514"/>
    <w:multiLevelType w:val="hybridMultilevel"/>
    <w:tmpl w:val="18E2FE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55A"/>
    <w:multiLevelType w:val="hybridMultilevel"/>
    <w:tmpl w:val="1B3296B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E1C0F5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467E9"/>
    <w:multiLevelType w:val="hybridMultilevel"/>
    <w:tmpl w:val="3FF4F3C0"/>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106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37C2C"/>
    <w:multiLevelType w:val="hybridMultilevel"/>
    <w:tmpl w:val="0E80B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845ED"/>
    <w:multiLevelType w:val="hybridMultilevel"/>
    <w:tmpl w:val="9AA08782"/>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C0FB2"/>
    <w:multiLevelType w:val="singleLevel"/>
    <w:tmpl w:val="08090011"/>
    <w:lvl w:ilvl="0">
      <w:start w:val="1"/>
      <w:numFmt w:val="decimal"/>
      <w:lvlText w:val="%1)"/>
      <w:lvlJc w:val="left"/>
      <w:pPr>
        <w:tabs>
          <w:tab w:val="num" w:pos="360"/>
        </w:tabs>
        <w:ind w:left="360" w:hanging="360"/>
      </w:pPr>
    </w:lvl>
  </w:abstractNum>
  <w:abstractNum w:abstractNumId="7" w15:restartNumberingAfterBreak="0">
    <w:nsid w:val="16FB5617"/>
    <w:multiLevelType w:val="multilevel"/>
    <w:tmpl w:val="A6302F08"/>
    <w:lvl w:ilvl="0">
      <w:start w:val="1"/>
      <w:numFmt w:val="decimal"/>
      <w:pStyle w:val="Heading1"/>
      <w:lvlText w:val="%1."/>
      <w:lvlJc w:val="left"/>
      <w:pPr>
        <w:ind w:left="432" w:hanging="432"/>
      </w:pPr>
      <w:rPr>
        <w:rFonts w:hint="default"/>
        <w:b/>
        <w:bCs w:val="0"/>
        <w:i w:val="0"/>
        <w:iCs w:val="0"/>
      </w:rPr>
    </w:lvl>
    <w:lvl w:ilvl="1">
      <w:start w:val="1"/>
      <w:numFmt w:val="decimal"/>
      <w:pStyle w:val="Heading2"/>
      <w:lvlText w:val="%1.%2"/>
      <w:lvlJc w:val="left"/>
      <w:pPr>
        <w:ind w:left="576" w:hanging="576"/>
      </w:pPr>
      <w:rPr>
        <w:rFonts w:hint="default"/>
        <w:b/>
        <w:bCs/>
        <w:color w:val="auto"/>
        <w:sz w:val="26"/>
        <w:szCs w:val="26"/>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F6B09FB"/>
    <w:multiLevelType w:val="hybridMultilevel"/>
    <w:tmpl w:val="4CC8F71C"/>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A2C66"/>
    <w:multiLevelType w:val="hybridMultilevel"/>
    <w:tmpl w:val="0B5E8638"/>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0239F"/>
    <w:multiLevelType w:val="multilevel"/>
    <w:tmpl w:val="7E1A4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ascii="Arial" w:hAnsi="Arial" w:hint="default"/>
        <w:caps/>
        <w:sz w:val="24"/>
        <w:szCs w:val="24"/>
      </w:rPr>
    </w:lvl>
    <w:lvl w:ilvl="2">
      <w:start w:val="1"/>
      <w:numFmt w:val="decimal"/>
      <w:lvlText w:val="%1.%2.%3"/>
      <w:lvlJc w:val="left"/>
      <w:pPr>
        <w:tabs>
          <w:tab w:val="num" w:pos="567"/>
        </w:tabs>
        <w:ind w:left="1304" w:hanging="737"/>
      </w:pPr>
      <w:rPr>
        <w:rFonts w:ascii="Arial" w:hAnsi="Arial" w:hint="default"/>
        <w:b/>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CE738C"/>
    <w:multiLevelType w:val="hybridMultilevel"/>
    <w:tmpl w:val="49A24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E44DD"/>
    <w:multiLevelType w:val="hybridMultilevel"/>
    <w:tmpl w:val="2C5059B6"/>
    <w:lvl w:ilvl="0" w:tplc="FE1C0F5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37817BC"/>
    <w:multiLevelType w:val="hybridMultilevel"/>
    <w:tmpl w:val="638A407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4302B"/>
    <w:multiLevelType w:val="hybridMultilevel"/>
    <w:tmpl w:val="49A24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836CA"/>
    <w:multiLevelType w:val="hybridMultilevel"/>
    <w:tmpl w:val="238AB53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A5C00"/>
    <w:multiLevelType w:val="hybridMultilevel"/>
    <w:tmpl w:val="61BAA55C"/>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5571C"/>
    <w:multiLevelType w:val="hybridMultilevel"/>
    <w:tmpl w:val="18E2FE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61F52"/>
    <w:multiLevelType w:val="multilevel"/>
    <w:tmpl w:val="75BE74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ascii="Arial" w:hAnsi="Arial" w:hint="default"/>
        <w:caps/>
        <w:sz w:val="24"/>
        <w:szCs w:val="24"/>
      </w:rPr>
    </w:lvl>
    <w:lvl w:ilvl="2">
      <w:start w:val="1"/>
      <w:numFmt w:val="bullet"/>
      <w:lvlText w:val=""/>
      <w:lvlJc w:val="left"/>
      <w:pPr>
        <w:tabs>
          <w:tab w:val="num" w:pos="567"/>
        </w:tabs>
        <w:ind w:left="1304" w:hanging="737"/>
      </w:pPr>
      <w:rPr>
        <w:rFonts w:ascii="Symbol" w:hAnsi="Symbol" w:hint="default"/>
        <w:b/>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A10558D"/>
    <w:multiLevelType w:val="hybridMultilevel"/>
    <w:tmpl w:val="7AC2DA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65EEB"/>
    <w:multiLevelType w:val="hybridMultilevel"/>
    <w:tmpl w:val="31F4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B32BA"/>
    <w:multiLevelType w:val="hybridMultilevel"/>
    <w:tmpl w:val="761468F8"/>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283CFB"/>
    <w:multiLevelType w:val="hybridMultilevel"/>
    <w:tmpl w:val="4328A0C0"/>
    <w:name w:val="Heading 1"/>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75D76"/>
    <w:multiLevelType w:val="multilevel"/>
    <w:tmpl w:val="62802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26569D"/>
    <w:multiLevelType w:val="hybridMultilevel"/>
    <w:tmpl w:val="0C4AE3C2"/>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E7D39"/>
    <w:multiLevelType w:val="hybridMultilevel"/>
    <w:tmpl w:val="AFFC05CE"/>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532FB"/>
    <w:multiLevelType w:val="hybridMultilevel"/>
    <w:tmpl w:val="022A5EE0"/>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32FE4"/>
    <w:multiLevelType w:val="hybridMultilevel"/>
    <w:tmpl w:val="31F4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86E5D"/>
    <w:multiLevelType w:val="hybridMultilevel"/>
    <w:tmpl w:val="99D891E6"/>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5"/>
  </w:num>
  <w:num w:numId="4">
    <w:abstractNumId w:val="17"/>
  </w:num>
  <w:num w:numId="5">
    <w:abstractNumId w:val="28"/>
  </w:num>
  <w:num w:numId="6">
    <w:abstractNumId w:val="25"/>
  </w:num>
  <w:num w:numId="7">
    <w:abstractNumId w:val="8"/>
  </w:num>
  <w:num w:numId="8">
    <w:abstractNumId w:val="12"/>
  </w:num>
  <w:num w:numId="9">
    <w:abstractNumId w:val="5"/>
  </w:num>
  <w:num w:numId="10">
    <w:abstractNumId w:val="16"/>
  </w:num>
  <w:num w:numId="11">
    <w:abstractNumId w:val="6"/>
    <w:lvlOverride w:ilvl="0">
      <w:startOverride w:val="1"/>
    </w:lvlOverride>
  </w:num>
  <w:num w:numId="12">
    <w:abstractNumId w:val="20"/>
  </w:num>
  <w:num w:numId="13">
    <w:abstractNumId w:val="27"/>
  </w:num>
  <w:num w:numId="14">
    <w:abstractNumId w:val="4"/>
  </w:num>
  <w:num w:numId="15">
    <w:abstractNumId w:val="23"/>
  </w:num>
  <w:num w:numId="16">
    <w:abstractNumId w:val="19"/>
  </w:num>
  <w:num w:numId="17">
    <w:abstractNumId w:val="24"/>
  </w:num>
  <w:num w:numId="18">
    <w:abstractNumId w:val="26"/>
  </w:num>
  <w:num w:numId="19">
    <w:abstractNumId w:val="10"/>
  </w:num>
  <w:num w:numId="20">
    <w:abstractNumId w:val="1"/>
  </w:num>
  <w:num w:numId="21">
    <w:abstractNumId w:val="13"/>
  </w:num>
  <w:num w:numId="22">
    <w:abstractNumId w:val="18"/>
  </w:num>
  <w:num w:numId="23">
    <w:abstractNumId w:val="2"/>
  </w:num>
  <w:num w:numId="24">
    <w:abstractNumId w:val="14"/>
  </w:num>
  <w:num w:numId="25">
    <w:abstractNumId w:val="11"/>
  </w:num>
  <w:num w:numId="26">
    <w:abstractNumId w:val="21"/>
  </w:num>
  <w:num w:numId="27">
    <w:abstractNumId w:val="22"/>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3E"/>
    <w:rsid w:val="00001B88"/>
    <w:rsid w:val="00012583"/>
    <w:rsid w:val="00020696"/>
    <w:rsid w:val="00040177"/>
    <w:rsid w:val="0005193A"/>
    <w:rsid w:val="0007195F"/>
    <w:rsid w:val="00074EBD"/>
    <w:rsid w:val="00086592"/>
    <w:rsid w:val="00091994"/>
    <w:rsid w:val="000A1401"/>
    <w:rsid w:val="000D0040"/>
    <w:rsid w:val="000E029D"/>
    <w:rsid w:val="000F4EB3"/>
    <w:rsid w:val="00104E0B"/>
    <w:rsid w:val="00126C0A"/>
    <w:rsid w:val="00136836"/>
    <w:rsid w:val="001377B3"/>
    <w:rsid w:val="001821C9"/>
    <w:rsid w:val="001C1200"/>
    <w:rsid w:val="002034F8"/>
    <w:rsid w:val="00226E68"/>
    <w:rsid w:val="002313F9"/>
    <w:rsid w:val="00236621"/>
    <w:rsid w:val="0025083E"/>
    <w:rsid w:val="0025456B"/>
    <w:rsid w:val="002724FC"/>
    <w:rsid w:val="00276A0F"/>
    <w:rsid w:val="002840BB"/>
    <w:rsid w:val="002A1DC3"/>
    <w:rsid w:val="002A388F"/>
    <w:rsid w:val="002A53A0"/>
    <w:rsid w:val="002C7C9F"/>
    <w:rsid w:val="002D5A64"/>
    <w:rsid w:val="002E015B"/>
    <w:rsid w:val="002F648A"/>
    <w:rsid w:val="002F6E11"/>
    <w:rsid w:val="002F772C"/>
    <w:rsid w:val="0030202D"/>
    <w:rsid w:val="003359BD"/>
    <w:rsid w:val="003506B9"/>
    <w:rsid w:val="00350C15"/>
    <w:rsid w:val="003549B7"/>
    <w:rsid w:val="003773A2"/>
    <w:rsid w:val="0039785B"/>
    <w:rsid w:val="0042557F"/>
    <w:rsid w:val="00427EAC"/>
    <w:rsid w:val="00440BDC"/>
    <w:rsid w:val="004441E8"/>
    <w:rsid w:val="00485CB7"/>
    <w:rsid w:val="004A36FC"/>
    <w:rsid w:val="004C5EDF"/>
    <w:rsid w:val="00506144"/>
    <w:rsid w:val="00553776"/>
    <w:rsid w:val="005570D9"/>
    <w:rsid w:val="005669D0"/>
    <w:rsid w:val="0058523D"/>
    <w:rsid w:val="005B641A"/>
    <w:rsid w:val="005D11F6"/>
    <w:rsid w:val="005E57ED"/>
    <w:rsid w:val="0060058E"/>
    <w:rsid w:val="00626DCC"/>
    <w:rsid w:val="00664D85"/>
    <w:rsid w:val="006672FF"/>
    <w:rsid w:val="00675BEC"/>
    <w:rsid w:val="006D5419"/>
    <w:rsid w:val="007022FB"/>
    <w:rsid w:val="00702C24"/>
    <w:rsid w:val="0073373C"/>
    <w:rsid w:val="007716D3"/>
    <w:rsid w:val="0079517F"/>
    <w:rsid w:val="007A1FC0"/>
    <w:rsid w:val="007B6DE4"/>
    <w:rsid w:val="007D4D5B"/>
    <w:rsid w:val="007D5F74"/>
    <w:rsid w:val="007D73A0"/>
    <w:rsid w:val="007E4F11"/>
    <w:rsid w:val="0080251A"/>
    <w:rsid w:val="008064DA"/>
    <w:rsid w:val="00807168"/>
    <w:rsid w:val="0081625D"/>
    <w:rsid w:val="008301FE"/>
    <w:rsid w:val="00844BB0"/>
    <w:rsid w:val="00846B5E"/>
    <w:rsid w:val="00847EA6"/>
    <w:rsid w:val="0085682C"/>
    <w:rsid w:val="008A13F5"/>
    <w:rsid w:val="008A31E2"/>
    <w:rsid w:val="008B63CB"/>
    <w:rsid w:val="008D5E59"/>
    <w:rsid w:val="008E6E15"/>
    <w:rsid w:val="008E797F"/>
    <w:rsid w:val="00921020"/>
    <w:rsid w:val="00925D0E"/>
    <w:rsid w:val="0094507C"/>
    <w:rsid w:val="00961A1A"/>
    <w:rsid w:val="00981F25"/>
    <w:rsid w:val="00985EAD"/>
    <w:rsid w:val="009C2116"/>
    <w:rsid w:val="009C4C47"/>
    <w:rsid w:val="009C7810"/>
    <w:rsid w:val="009D7139"/>
    <w:rsid w:val="009E27BF"/>
    <w:rsid w:val="00A0144B"/>
    <w:rsid w:val="00A21B15"/>
    <w:rsid w:val="00A23CE1"/>
    <w:rsid w:val="00A4262A"/>
    <w:rsid w:val="00A717FA"/>
    <w:rsid w:val="00A7719D"/>
    <w:rsid w:val="00AA417B"/>
    <w:rsid w:val="00AB601D"/>
    <w:rsid w:val="00AD43ED"/>
    <w:rsid w:val="00AE2651"/>
    <w:rsid w:val="00AE324E"/>
    <w:rsid w:val="00AE4470"/>
    <w:rsid w:val="00AE5EC0"/>
    <w:rsid w:val="00B00A6A"/>
    <w:rsid w:val="00B629E2"/>
    <w:rsid w:val="00B66C9C"/>
    <w:rsid w:val="00B71E92"/>
    <w:rsid w:val="00B753E8"/>
    <w:rsid w:val="00B8705B"/>
    <w:rsid w:val="00BB6AA6"/>
    <w:rsid w:val="00BC55C0"/>
    <w:rsid w:val="00BC56F8"/>
    <w:rsid w:val="00BD45A9"/>
    <w:rsid w:val="00BE569D"/>
    <w:rsid w:val="00C063F0"/>
    <w:rsid w:val="00C16BCE"/>
    <w:rsid w:val="00C37887"/>
    <w:rsid w:val="00C62EBC"/>
    <w:rsid w:val="00C65DAC"/>
    <w:rsid w:val="00C910A6"/>
    <w:rsid w:val="00C9316D"/>
    <w:rsid w:val="00CF31CE"/>
    <w:rsid w:val="00CF6B0C"/>
    <w:rsid w:val="00D10615"/>
    <w:rsid w:val="00D35C81"/>
    <w:rsid w:val="00D50F3E"/>
    <w:rsid w:val="00D634AB"/>
    <w:rsid w:val="00DC56F2"/>
    <w:rsid w:val="00DD6366"/>
    <w:rsid w:val="00E27327"/>
    <w:rsid w:val="00E324F0"/>
    <w:rsid w:val="00E41B65"/>
    <w:rsid w:val="00E4361B"/>
    <w:rsid w:val="00E7034D"/>
    <w:rsid w:val="00EA6CE9"/>
    <w:rsid w:val="00EB508C"/>
    <w:rsid w:val="00ED04AF"/>
    <w:rsid w:val="00F02C60"/>
    <w:rsid w:val="00F22952"/>
    <w:rsid w:val="00F862D9"/>
    <w:rsid w:val="00FB7BE6"/>
    <w:rsid w:val="00FE4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4ECF"/>
  <w15:chartTrackingRefBased/>
  <w15:docId w15:val="{4CF12538-6866-4C22-8F6B-A6517182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B5E"/>
    <w:pPr>
      <w:spacing w:after="0" w:line="264" w:lineRule="auto"/>
    </w:pPr>
  </w:style>
  <w:style w:type="paragraph" w:styleId="Heading1">
    <w:name w:val="heading 1"/>
    <w:basedOn w:val="Normal"/>
    <w:next w:val="Normal"/>
    <w:link w:val="Heading1Char"/>
    <w:qFormat/>
    <w:rsid w:val="00844BB0"/>
    <w:pPr>
      <w:keepNext/>
      <w:keepLines/>
      <w:numPr>
        <w:numId w:val="2"/>
      </w:numPr>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46B5E"/>
    <w:pPr>
      <w:keepNext/>
      <w:keepLines/>
      <w:numPr>
        <w:ilvl w:val="1"/>
        <w:numId w:val="2"/>
      </w:numPr>
      <w:spacing w:before="18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27BF"/>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9E27B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E27B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E27B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9E27B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9E27B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E27B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61B"/>
    <w:pPr>
      <w:ind w:left="720"/>
      <w:contextualSpacing/>
    </w:pPr>
  </w:style>
  <w:style w:type="character" w:customStyle="1" w:styleId="Heading1Char">
    <w:name w:val="Heading 1 Char"/>
    <w:basedOn w:val="DefaultParagraphFont"/>
    <w:link w:val="Heading1"/>
    <w:rsid w:val="00844BB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846B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27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27B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27B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27B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27B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27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27B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377B3"/>
    <w:rPr>
      <w:color w:val="0000FF"/>
      <w:u w:val="single"/>
    </w:rPr>
  </w:style>
  <w:style w:type="paragraph" w:styleId="NormalWeb">
    <w:name w:val="Normal (Web)"/>
    <w:basedOn w:val="Normal"/>
    <w:uiPriority w:val="99"/>
    <w:unhideWhenUsed/>
    <w:rsid w:val="00D35C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5C81"/>
    <w:rPr>
      <w:b/>
      <w:bCs/>
    </w:rPr>
  </w:style>
  <w:style w:type="character" w:styleId="Emphasis">
    <w:name w:val="Emphasis"/>
    <w:basedOn w:val="DefaultParagraphFont"/>
    <w:uiPriority w:val="20"/>
    <w:qFormat/>
    <w:rsid w:val="00D35C81"/>
    <w:rPr>
      <w:i/>
      <w:iCs/>
    </w:rPr>
  </w:style>
  <w:style w:type="paragraph" w:styleId="BodyText">
    <w:name w:val="Body Text"/>
    <w:basedOn w:val="Normal"/>
    <w:link w:val="BodyTextChar"/>
    <w:semiHidden/>
    <w:unhideWhenUsed/>
    <w:rsid w:val="00D35C81"/>
    <w:pPr>
      <w:spacing w:line="240" w:lineRule="auto"/>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semiHidden/>
    <w:rsid w:val="00D35C81"/>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921020"/>
    <w:rPr>
      <w:sz w:val="16"/>
      <w:szCs w:val="16"/>
    </w:rPr>
  </w:style>
  <w:style w:type="paragraph" w:styleId="CommentText">
    <w:name w:val="annotation text"/>
    <w:basedOn w:val="Normal"/>
    <w:link w:val="CommentTextChar"/>
    <w:uiPriority w:val="99"/>
    <w:semiHidden/>
    <w:unhideWhenUsed/>
    <w:rsid w:val="00921020"/>
    <w:pPr>
      <w:spacing w:line="240" w:lineRule="auto"/>
    </w:pPr>
    <w:rPr>
      <w:sz w:val="20"/>
      <w:szCs w:val="20"/>
    </w:rPr>
  </w:style>
  <w:style w:type="character" w:customStyle="1" w:styleId="CommentTextChar">
    <w:name w:val="Comment Text Char"/>
    <w:basedOn w:val="DefaultParagraphFont"/>
    <w:link w:val="CommentText"/>
    <w:uiPriority w:val="99"/>
    <w:semiHidden/>
    <w:rsid w:val="00921020"/>
    <w:rPr>
      <w:sz w:val="20"/>
      <w:szCs w:val="20"/>
    </w:rPr>
  </w:style>
  <w:style w:type="paragraph" w:styleId="CommentSubject">
    <w:name w:val="annotation subject"/>
    <w:basedOn w:val="CommentText"/>
    <w:next w:val="CommentText"/>
    <w:link w:val="CommentSubjectChar"/>
    <w:uiPriority w:val="99"/>
    <w:semiHidden/>
    <w:unhideWhenUsed/>
    <w:rsid w:val="00921020"/>
    <w:rPr>
      <w:b/>
      <w:bCs/>
    </w:rPr>
  </w:style>
  <w:style w:type="character" w:customStyle="1" w:styleId="CommentSubjectChar">
    <w:name w:val="Comment Subject Char"/>
    <w:basedOn w:val="CommentTextChar"/>
    <w:link w:val="CommentSubject"/>
    <w:uiPriority w:val="99"/>
    <w:semiHidden/>
    <w:rsid w:val="00921020"/>
    <w:rPr>
      <w:b/>
      <w:bCs/>
      <w:sz w:val="20"/>
      <w:szCs w:val="20"/>
    </w:rPr>
  </w:style>
  <w:style w:type="paragraph" w:styleId="BalloonText">
    <w:name w:val="Balloon Text"/>
    <w:basedOn w:val="Normal"/>
    <w:link w:val="BalloonTextChar"/>
    <w:uiPriority w:val="99"/>
    <w:semiHidden/>
    <w:unhideWhenUsed/>
    <w:rsid w:val="009210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020"/>
    <w:rPr>
      <w:rFonts w:ascii="Segoe UI" w:hAnsi="Segoe UI" w:cs="Segoe UI"/>
      <w:sz w:val="18"/>
      <w:szCs w:val="18"/>
    </w:rPr>
  </w:style>
  <w:style w:type="paragraph" w:styleId="Header">
    <w:name w:val="header"/>
    <w:basedOn w:val="Normal"/>
    <w:link w:val="HeaderChar"/>
    <w:unhideWhenUsed/>
    <w:rsid w:val="00C063F0"/>
    <w:pPr>
      <w:tabs>
        <w:tab w:val="center" w:pos="4153"/>
        <w:tab w:val="right" w:pos="8306"/>
      </w:tabs>
      <w:spacing w:line="240" w:lineRule="auto"/>
    </w:pPr>
    <w:rPr>
      <w:rFonts w:ascii="Arial" w:eastAsia="Times New Roman" w:hAnsi="Arial" w:cs="Times New Roman"/>
      <w:sz w:val="24"/>
      <w:szCs w:val="20"/>
      <w:lang w:val="en-GB"/>
    </w:rPr>
  </w:style>
  <w:style w:type="character" w:customStyle="1" w:styleId="HeaderChar">
    <w:name w:val="Header Char"/>
    <w:basedOn w:val="DefaultParagraphFont"/>
    <w:link w:val="Header"/>
    <w:rsid w:val="00C063F0"/>
    <w:rPr>
      <w:rFonts w:ascii="Arial" w:eastAsia="Times New Roman" w:hAnsi="Arial" w:cs="Times New Roman"/>
      <w:sz w:val="24"/>
      <w:szCs w:val="20"/>
      <w:lang w:val="en-GB"/>
    </w:rPr>
  </w:style>
  <w:style w:type="paragraph" w:customStyle="1" w:styleId="StyleHeading2NotBoldAllcaps">
    <w:name w:val="Style Heading 2 + Not Bold All caps"/>
    <w:basedOn w:val="Heading2"/>
    <w:rsid w:val="003359BD"/>
    <w:pPr>
      <w:keepLines w:val="0"/>
      <w:numPr>
        <w:ilvl w:val="0"/>
        <w:numId w:val="0"/>
      </w:numPr>
      <w:tabs>
        <w:tab w:val="num" w:pos="567"/>
      </w:tabs>
      <w:spacing w:after="60" w:line="240" w:lineRule="auto"/>
      <w:ind w:left="567" w:hanging="567"/>
      <w:jc w:val="center"/>
    </w:pPr>
    <w:rPr>
      <w:rFonts w:ascii="Arial" w:eastAsia="Times New Roman" w:hAnsi="Arial" w:cs="Arial"/>
      <w:b/>
      <w:caps/>
      <w:color w:val="auto"/>
      <w:sz w:val="24"/>
      <w:szCs w:val="20"/>
      <w:lang w:val="en-GB"/>
    </w:rPr>
  </w:style>
  <w:style w:type="paragraph" w:customStyle="1" w:styleId="Normaltext">
    <w:name w:val="Normal text"/>
    <w:basedOn w:val="Normal"/>
    <w:rsid w:val="003359BD"/>
    <w:pPr>
      <w:keepNext/>
      <w:tabs>
        <w:tab w:val="num" w:pos="567"/>
      </w:tabs>
      <w:spacing w:after="120" w:line="240" w:lineRule="auto"/>
      <w:ind w:left="1304" w:hanging="737"/>
      <w:outlineLvl w:val="2"/>
    </w:pPr>
    <w:rPr>
      <w:rFonts w:ascii="Arial" w:eastAsia="Times New Roman" w:hAnsi="Arial" w:cs="Arial"/>
      <w:sz w:val="24"/>
      <w:szCs w:val="20"/>
      <w:lang w:val="en-GB"/>
    </w:rPr>
  </w:style>
  <w:style w:type="paragraph" w:styleId="Footer">
    <w:name w:val="footer"/>
    <w:basedOn w:val="Normal"/>
    <w:link w:val="FooterChar"/>
    <w:uiPriority w:val="99"/>
    <w:unhideWhenUsed/>
    <w:rsid w:val="008301FE"/>
    <w:pPr>
      <w:tabs>
        <w:tab w:val="center" w:pos="4680"/>
        <w:tab w:val="right" w:pos="9360"/>
      </w:tabs>
      <w:spacing w:line="240" w:lineRule="auto"/>
    </w:pPr>
  </w:style>
  <w:style w:type="character" w:customStyle="1" w:styleId="FooterChar">
    <w:name w:val="Footer Char"/>
    <w:basedOn w:val="DefaultParagraphFont"/>
    <w:link w:val="Footer"/>
    <w:uiPriority w:val="99"/>
    <w:rsid w:val="00830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2558">
      <w:bodyDiv w:val="1"/>
      <w:marLeft w:val="0"/>
      <w:marRight w:val="0"/>
      <w:marTop w:val="0"/>
      <w:marBottom w:val="0"/>
      <w:divBdr>
        <w:top w:val="none" w:sz="0" w:space="0" w:color="auto"/>
        <w:left w:val="none" w:sz="0" w:space="0" w:color="auto"/>
        <w:bottom w:val="none" w:sz="0" w:space="0" w:color="auto"/>
        <w:right w:val="none" w:sz="0" w:space="0" w:color="auto"/>
      </w:divBdr>
    </w:div>
    <w:div w:id="332757865">
      <w:bodyDiv w:val="1"/>
      <w:marLeft w:val="0"/>
      <w:marRight w:val="0"/>
      <w:marTop w:val="0"/>
      <w:marBottom w:val="0"/>
      <w:divBdr>
        <w:top w:val="none" w:sz="0" w:space="0" w:color="auto"/>
        <w:left w:val="none" w:sz="0" w:space="0" w:color="auto"/>
        <w:bottom w:val="none" w:sz="0" w:space="0" w:color="auto"/>
        <w:right w:val="none" w:sz="0" w:space="0" w:color="auto"/>
      </w:divBdr>
    </w:div>
    <w:div w:id="816533690">
      <w:bodyDiv w:val="1"/>
      <w:marLeft w:val="0"/>
      <w:marRight w:val="0"/>
      <w:marTop w:val="0"/>
      <w:marBottom w:val="0"/>
      <w:divBdr>
        <w:top w:val="none" w:sz="0" w:space="0" w:color="auto"/>
        <w:left w:val="none" w:sz="0" w:space="0" w:color="auto"/>
        <w:bottom w:val="none" w:sz="0" w:space="0" w:color="auto"/>
        <w:right w:val="none" w:sz="0" w:space="0" w:color="auto"/>
      </w:divBdr>
    </w:div>
    <w:div w:id="1369336719">
      <w:bodyDiv w:val="1"/>
      <w:marLeft w:val="0"/>
      <w:marRight w:val="0"/>
      <w:marTop w:val="0"/>
      <w:marBottom w:val="0"/>
      <w:divBdr>
        <w:top w:val="none" w:sz="0" w:space="0" w:color="auto"/>
        <w:left w:val="none" w:sz="0" w:space="0" w:color="auto"/>
        <w:bottom w:val="none" w:sz="0" w:space="0" w:color="auto"/>
        <w:right w:val="none" w:sz="0" w:space="0" w:color="auto"/>
      </w:divBdr>
    </w:div>
    <w:div w:id="1809006943">
      <w:bodyDiv w:val="1"/>
      <w:marLeft w:val="0"/>
      <w:marRight w:val="0"/>
      <w:marTop w:val="0"/>
      <w:marBottom w:val="0"/>
      <w:divBdr>
        <w:top w:val="none" w:sz="0" w:space="0" w:color="auto"/>
        <w:left w:val="none" w:sz="0" w:space="0" w:color="auto"/>
        <w:bottom w:val="none" w:sz="0" w:space="0" w:color="auto"/>
        <w:right w:val="none" w:sz="0" w:space="0" w:color="auto"/>
      </w:divBdr>
    </w:div>
    <w:div w:id="2046785163">
      <w:bodyDiv w:val="1"/>
      <w:marLeft w:val="0"/>
      <w:marRight w:val="0"/>
      <w:marTop w:val="0"/>
      <w:marBottom w:val="0"/>
      <w:divBdr>
        <w:top w:val="none" w:sz="0" w:space="0" w:color="auto"/>
        <w:left w:val="none" w:sz="0" w:space="0" w:color="auto"/>
        <w:bottom w:val="none" w:sz="0" w:space="0" w:color="auto"/>
        <w:right w:val="none" w:sz="0" w:space="0" w:color="auto"/>
      </w:divBdr>
    </w:div>
    <w:div w:id="204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hyperlink" Target="https://apps.kaust.edu.sa/sites/reportit/Pages/InitialForm.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 TargetMode="External"/><Relationship Id="rId17" Type="http://schemas.openxmlformats.org/officeDocument/2006/relationships/hyperlink" Target="mailto:researchsafety@kaust.edu.sa"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blackboard.kaust.edu.sa/webapps/log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lphine.darios@kaust.edu.sa" TargetMode="External"/><Relationship Id="rId5" Type="http://schemas.openxmlformats.org/officeDocument/2006/relationships/styles" Target="styles.xml"/><Relationship Id="rId15" Type="http://schemas.openxmlformats.org/officeDocument/2006/relationships/hyperlink" Target="https://hse.kaust.edu.sa/Services/PublishingImages/Pages/labsafety/Compressed%20Gas%20Standard.pdf" TargetMode="External"/><Relationship Id="rId10" Type="http://schemas.openxmlformats.org/officeDocument/2006/relationships/hyperlink" Target="mailto:mohammad.bahmaid@kaust.edu.s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se.kaust.edu.sa/Services/Pages/LabSafetyManual/Introdu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370288B16C848A0C5CCCE08A4E6FC" ma:contentTypeVersion="0" ma:contentTypeDescription="Create a new document." ma:contentTypeScope="" ma:versionID="a30fde3be3fc12af43ba2acb91be7bb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211BA-A4FF-4CD2-B8DD-F7C7E7A5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C0FFD8-5DB6-4BB9-A259-BFB5081E8F1F}">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CB34714-EE0B-462D-A0AB-31BB408F2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18576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C. Darios</dc:creator>
  <cp:keywords/>
  <dc:description/>
  <cp:lastModifiedBy>Delphine C. Darios</cp:lastModifiedBy>
  <cp:revision>6</cp:revision>
  <cp:lastPrinted>2018-07-02T13:23:00Z</cp:lastPrinted>
  <dcterms:created xsi:type="dcterms:W3CDTF">2018-10-24T12:54:00Z</dcterms:created>
  <dcterms:modified xsi:type="dcterms:W3CDTF">2018-11-05T06:30:00Z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0x0101009A4370288B16C848A0C5CCCE08A4E6FC</vt:lpwstr>
  </property>
</Properties>
</file>